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D3D0D" w14:textId="5BD93D3F" w:rsidR="00096008" w:rsidRPr="00186E8A" w:rsidRDefault="00BF7387" w:rsidP="00096008">
      <w:pPr>
        <w:jc w:val="center"/>
        <w:rPr>
          <w:b/>
          <w:color w:val="000000"/>
          <w:sz w:val="28"/>
          <w:szCs w:val="28"/>
        </w:rPr>
      </w:pPr>
      <w:r>
        <w:rPr>
          <w:b/>
          <w:color w:val="000000"/>
          <w:sz w:val="28"/>
          <w:szCs w:val="28"/>
        </w:rPr>
        <w:t>20</w:t>
      </w:r>
      <w:r w:rsidR="00B91AC4">
        <w:rPr>
          <w:b/>
          <w:color w:val="000000"/>
          <w:sz w:val="28"/>
          <w:szCs w:val="28"/>
        </w:rPr>
        <w:t>22</w:t>
      </w:r>
      <w:r>
        <w:rPr>
          <w:b/>
          <w:color w:val="000000"/>
          <w:sz w:val="28"/>
          <w:szCs w:val="28"/>
        </w:rPr>
        <w:t>-202</w:t>
      </w:r>
      <w:r w:rsidR="00B91AC4">
        <w:rPr>
          <w:b/>
          <w:color w:val="000000"/>
          <w:sz w:val="28"/>
          <w:szCs w:val="28"/>
        </w:rPr>
        <w:t>3</w:t>
      </w:r>
      <w:r w:rsidR="00096008" w:rsidRPr="00186E8A">
        <w:rPr>
          <w:b/>
          <w:color w:val="000000"/>
          <w:sz w:val="28"/>
          <w:szCs w:val="28"/>
        </w:rPr>
        <w:t xml:space="preserve"> Influenza Season</w:t>
      </w:r>
    </w:p>
    <w:p w14:paraId="5F0BDEB5" w14:textId="380F7C0B" w:rsidR="00096008" w:rsidRPr="00186E8A" w:rsidRDefault="00096008" w:rsidP="00096008">
      <w:pPr>
        <w:jc w:val="center"/>
        <w:rPr>
          <w:b/>
          <w:color w:val="000000"/>
          <w:sz w:val="28"/>
          <w:szCs w:val="28"/>
        </w:rPr>
      </w:pPr>
      <w:r w:rsidRPr="00186E8A">
        <w:rPr>
          <w:b/>
          <w:color w:val="000000"/>
          <w:sz w:val="28"/>
          <w:szCs w:val="28"/>
        </w:rPr>
        <w:t>Flu Vaccine Recommendations</w:t>
      </w:r>
      <w:r w:rsidR="00B91AC4">
        <w:rPr>
          <w:b/>
          <w:color w:val="000000"/>
          <w:sz w:val="28"/>
          <w:szCs w:val="28"/>
        </w:rPr>
        <w:t xml:space="preserve"> for</w:t>
      </w:r>
      <w:r w:rsidR="00B91AC4" w:rsidRPr="00B91AC4">
        <w:rPr>
          <w:b/>
          <w:color w:val="000000"/>
          <w:sz w:val="28"/>
          <w:szCs w:val="28"/>
        </w:rPr>
        <w:t xml:space="preserve"> </w:t>
      </w:r>
      <w:r w:rsidR="00B91AC4" w:rsidRPr="00186E8A">
        <w:rPr>
          <w:b/>
          <w:color w:val="000000"/>
          <w:sz w:val="28"/>
          <w:szCs w:val="28"/>
        </w:rPr>
        <w:t>Egg Allergy</w:t>
      </w:r>
    </w:p>
    <w:p w14:paraId="656BAE6D" w14:textId="77777777" w:rsidR="00F837D3" w:rsidRPr="00D47996" w:rsidRDefault="00F837D3" w:rsidP="00F837D3">
      <w:pPr>
        <w:rPr>
          <w:color w:val="000000"/>
          <w:sz w:val="16"/>
          <w:szCs w:val="16"/>
        </w:rPr>
      </w:pPr>
    </w:p>
    <w:p w14:paraId="6F0F8248" w14:textId="752BEF44" w:rsidR="00425CBA" w:rsidRDefault="00115E7D" w:rsidP="00425CBA">
      <w:pPr>
        <w:shd w:val="clear" w:color="auto" w:fill="FFFFFF"/>
        <w:rPr>
          <w:color w:val="000000"/>
          <w:sz w:val="24"/>
          <w:szCs w:val="24"/>
        </w:rPr>
      </w:pPr>
      <w:r>
        <w:rPr>
          <w:color w:val="000000"/>
          <w:sz w:val="24"/>
          <w:szCs w:val="24"/>
        </w:rPr>
        <w:t xml:space="preserve">Children and adults </w:t>
      </w:r>
      <w:r w:rsidR="00425CBA" w:rsidRPr="00D47996">
        <w:rPr>
          <w:color w:val="000000"/>
          <w:sz w:val="24"/>
          <w:szCs w:val="24"/>
        </w:rPr>
        <w:t>with a history of egg allergy</w:t>
      </w:r>
      <w:r>
        <w:rPr>
          <w:color w:val="000000"/>
          <w:sz w:val="24"/>
          <w:szCs w:val="24"/>
        </w:rPr>
        <w:t xml:space="preserve">, including those with a history of anaphylaxis, </w:t>
      </w:r>
      <w:r w:rsidR="00425CBA" w:rsidRPr="00D47996">
        <w:rPr>
          <w:color w:val="000000"/>
          <w:sz w:val="24"/>
          <w:szCs w:val="24"/>
        </w:rPr>
        <w:t>may receive any licensed, recommended, age-appropriate influenza vaccine that is otherwise appropriate for their health status</w:t>
      </w:r>
      <w:r>
        <w:rPr>
          <w:color w:val="000000"/>
          <w:sz w:val="24"/>
          <w:szCs w:val="24"/>
        </w:rPr>
        <w:t xml:space="preserve"> without any </w:t>
      </w:r>
      <w:r w:rsidR="00FC1416">
        <w:rPr>
          <w:color w:val="000000"/>
          <w:sz w:val="24"/>
          <w:szCs w:val="24"/>
        </w:rPr>
        <w:t xml:space="preserve">prior testing, </w:t>
      </w:r>
      <w:r>
        <w:rPr>
          <w:color w:val="000000"/>
          <w:sz w:val="24"/>
          <w:szCs w:val="24"/>
        </w:rPr>
        <w:t xml:space="preserve">dose modifications, </w:t>
      </w:r>
      <w:r w:rsidR="00FC1416">
        <w:rPr>
          <w:color w:val="000000"/>
          <w:sz w:val="24"/>
          <w:szCs w:val="24"/>
        </w:rPr>
        <w:t xml:space="preserve">prolonged observation, or any other </w:t>
      </w:r>
      <w:r>
        <w:rPr>
          <w:color w:val="000000"/>
          <w:sz w:val="24"/>
          <w:szCs w:val="24"/>
        </w:rPr>
        <w:t>special precautions</w:t>
      </w:r>
      <w:r w:rsidR="00FC1416">
        <w:rPr>
          <w:color w:val="000000"/>
          <w:sz w:val="24"/>
          <w:szCs w:val="24"/>
        </w:rPr>
        <w:t>.</w:t>
      </w:r>
    </w:p>
    <w:p w14:paraId="1D4421CB" w14:textId="63C22C47" w:rsidR="00E80AC7" w:rsidRDefault="00485D71" w:rsidP="00E80AC7">
      <w:pPr>
        <w:shd w:val="clear" w:color="auto" w:fill="FFFFFF"/>
      </w:pPr>
      <w:hyperlink r:id="rId4" w:history="1">
        <w:r w:rsidRPr="00526499">
          <w:rPr>
            <w:rStyle w:val="Hyperlink"/>
          </w:rPr>
          <w:t>https://www.cdc.gov/flu/prevent/egg-allergies.htm</w:t>
        </w:r>
      </w:hyperlink>
      <w:r w:rsidRPr="00485D71" w:rsidDel="00485D71">
        <w:t xml:space="preserve"> </w:t>
      </w:r>
    </w:p>
    <w:p w14:paraId="4ADA35E5" w14:textId="77777777" w:rsidR="00485D71" w:rsidRDefault="00485D71" w:rsidP="00E80AC7">
      <w:pPr>
        <w:shd w:val="clear" w:color="auto" w:fill="FFFFFF"/>
        <w:rPr>
          <w:sz w:val="24"/>
          <w:szCs w:val="24"/>
        </w:rPr>
      </w:pPr>
    </w:p>
    <w:p w14:paraId="59D134B9" w14:textId="679FFEC2" w:rsidR="00E80AC7" w:rsidRPr="00D47996" w:rsidRDefault="00485D71" w:rsidP="00E80AC7">
      <w:pPr>
        <w:shd w:val="clear" w:color="auto" w:fill="FFFFFF"/>
        <w:rPr>
          <w:sz w:val="24"/>
          <w:szCs w:val="24"/>
        </w:rPr>
      </w:pPr>
      <w:r>
        <w:rPr>
          <w:sz w:val="24"/>
          <w:szCs w:val="24"/>
        </w:rPr>
        <w:t xml:space="preserve">The Flucelvax vaccine which National Jewish has in stock is egg free. </w:t>
      </w:r>
    </w:p>
    <w:p w14:paraId="49E07E17" w14:textId="77777777" w:rsidR="00425CBA" w:rsidRPr="00D47996" w:rsidRDefault="00425CBA" w:rsidP="00425CBA">
      <w:pPr>
        <w:shd w:val="clear" w:color="auto" w:fill="FFFFFF"/>
        <w:rPr>
          <w:color w:val="000000"/>
          <w:sz w:val="24"/>
          <w:szCs w:val="24"/>
        </w:rPr>
      </w:pPr>
    </w:p>
    <w:p w14:paraId="44520CE0" w14:textId="77777777" w:rsidR="00F837D3" w:rsidRPr="00D47996" w:rsidRDefault="00F837D3" w:rsidP="00425CBA">
      <w:pPr>
        <w:autoSpaceDE w:val="0"/>
        <w:autoSpaceDN w:val="0"/>
        <w:rPr>
          <w:sz w:val="24"/>
          <w:szCs w:val="24"/>
        </w:rPr>
      </w:pPr>
      <w:r w:rsidRPr="00D47996">
        <w:rPr>
          <w:color w:val="000000"/>
          <w:sz w:val="24"/>
          <w:szCs w:val="24"/>
        </w:rPr>
        <w:t>The most important thing to assess prior to administering the flu v</w:t>
      </w:r>
      <w:bookmarkStart w:id="0" w:name="_GoBack"/>
      <w:bookmarkEnd w:id="0"/>
      <w:r w:rsidRPr="00D47996">
        <w:rPr>
          <w:color w:val="000000"/>
          <w:sz w:val="24"/>
          <w:szCs w:val="24"/>
        </w:rPr>
        <w:t>accine is if the patient has had a previous SEVERE reaction to the flu vaccine or any of its components.</w:t>
      </w:r>
      <w:r w:rsidR="00425CBA" w:rsidRPr="00D47996">
        <w:rPr>
          <w:color w:val="000000"/>
          <w:sz w:val="24"/>
          <w:szCs w:val="24"/>
        </w:rPr>
        <w:t xml:space="preserve"> This reaction is a contraindication to </w:t>
      </w:r>
      <w:r w:rsidR="00186E8A" w:rsidRPr="00D47996">
        <w:rPr>
          <w:color w:val="000000"/>
          <w:sz w:val="24"/>
          <w:szCs w:val="24"/>
        </w:rPr>
        <w:t>receiving</w:t>
      </w:r>
      <w:r w:rsidR="00425CBA" w:rsidRPr="00D47996">
        <w:rPr>
          <w:color w:val="000000"/>
          <w:sz w:val="24"/>
          <w:szCs w:val="24"/>
        </w:rPr>
        <w:t xml:space="preserve"> the vaccine</w:t>
      </w:r>
      <w:r w:rsidR="00186E8A" w:rsidRPr="00D47996">
        <w:rPr>
          <w:color w:val="000000"/>
          <w:sz w:val="24"/>
          <w:szCs w:val="24"/>
        </w:rPr>
        <w:t xml:space="preserve"> in the future.</w:t>
      </w:r>
    </w:p>
    <w:p w14:paraId="1AC4C305" w14:textId="77777777" w:rsidR="00425CBA" w:rsidRPr="00D47996" w:rsidRDefault="00425CBA" w:rsidP="00E80AC7">
      <w:pPr>
        <w:autoSpaceDE w:val="0"/>
        <w:autoSpaceDN w:val="0"/>
        <w:rPr>
          <w:sz w:val="24"/>
          <w:szCs w:val="24"/>
        </w:rPr>
      </w:pPr>
    </w:p>
    <w:p w14:paraId="097A61E6" w14:textId="1F77BD74" w:rsidR="00FB64E7" w:rsidRPr="00D47996" w:rsidRDefault="00096008" w:rsidP="00425CBA">
      <w:pPr>
        <w:shd w:val="clear" w:color="auto" w:fill="FFFFFF"/>
        <w:rPr>
          <w:sz w:val="24"/>
          <w:szCs w:val="24"/>
        </w:rPr>
      </w:pPr>
      <w:r w:rsidRPr="00D47996">
        <w:rPr>
          <w:sz w:val="24"/>
          <w:szCs w:val="24"/>
        </w:rPr>
        <w:t>N</w:t>
      </w:r>
      <w:r w:rsidR="00F837D3" w:rsidRPr="00D47996">
        <w:rPr>
          <w:sz w:val="24"/>
          <w:szCs w:val="24"/>
        </w:rPr>
        <w:t xml:space="preserve">one of the flu vaccine preparations </w:t>
      </w:r>
      <w:r w:rsidRPr="00D47996">
        <w:rPr>
          <w:sz w:val="24"/>
          <w:szCs w:val="24"/>
        </w:rPr>
        <w:t>NJH</w:t>
      </w:r>
      <w:r w:rsidR="00F837D3" w:rsidRPr="00D47996">
        <w:rPr>
          <w:sz w:val="24"/>
          <w:szCs w:val="24"/>
        </w:rPr>
        <w:t xml:space="preserve"> has in stock contain thimerosal</w:t>
      </w:r>
      <w:r w:rsidR="00EE6FDC">
        <w:rPr>
          <w:sz w:val="24"/>
          <w:szCs w:val="24"/>
        </w:rPr>
        <w:t xml:space="preserve"> (not related to egg or egg allergy)</w:t>
      </w:r>
    </w:p>
    <w:p w14:paraId="19A10008" w14:textId="2FFD21BE" w:rsidR="00186E8A" w:rsidRDefault="00186E8A" w:rsidP="00425CBA">
      <w:pPr>
        <w:shd w:val="clear" w:color="auto" w:fill="FFFFFF"/>
        <w:rPr>
          <w:sz w:val="18"/>
          <w:szCs w:val="18"/>
        </w:rPr>
      </w:pPr>
    </w:p>
    <w:p w14:paraId="77181011" w14:textId="77777777" w:rsidR="007E5B37" w:rsidRPr="007E5B37" w:rsidRDefault="007E5B37" w:rsidP="007E5B37">
      <w:pPr>
        <w:shd w:val="clear" w:color="auto" w:fill="FFFFFF"/>
        <w:rPr>
          <w:sz w:val="18"/>
          <w:szCs w:val="18"/>
        </w:rPr>
      </w:pPr>
      <w:r w:rsidRPr="007E5B37">
        <w:rPr>
          <w:sz w:val="18"/>
          <w:szCs w:val="18"/>
        </w:rPr>
        <w:t>TABLE. Influenza vaccines — United States, 2022–23 influenza season*</w:t>
      </w:r>
    </w:p>
    <w:p w14:paraId="712D56AE" w14:textId="77777777" w:rsidR="007E5B37" w:rsidRPr="007E5B37" w:rsidRDefault="007E5B37" w:rsidP="007E5B37">
      <w:pPr>
        <w:shd w:val="clear" w:color="auto" w:fill="FFFFFF"/>
        <w:rPr>
          <w:sz w:val="18"/>
          <w:szCs w:val="18"/>
        </w:rPr>
      </w:pPr>
      <w:hyperlink r:id="rId5" w:history="1">
        <w:r w:rsidRPr="007E5B37">
          <w:rPr>
            <w:rStyle w:val="Hyperlink"/>
            <w:sz w:val="18"/>
            <w:szCs w:val="18"/>
          </w:rPr>
          <w:t>Español</w:t>
        </w:r>
      </w:hyperlink>
      <w:r w:rsidRPr="007E5B37">
        <w:rPr>
          <w:sz w:val="18"/>
          <w:szCs w:val="18"/>
        </w:rPr>
        <w:t> | </w:t>
      </w:r>
      <w:hyperlink r:id="rId6" w:history="1">
        <w:r w:rsidRPr="007E5B37">
          <w:rPr>
            <w:rStyle w:val="Hyperlink"/>
            <w:sz w:val="18"/>
            <w:szCs w:val="18"/>
          </w:rPr>
          <w:t>Other Languages</w:t>
        </w:r>
      </w:hyperlink>
    </w:p>
    <w:tbl>
      <w:tblPr>
        <w:tblW w:w="14775" w:type="dxa"/>
        <w:tblCellMar>
          <w:top w:w="15" w:type="dxa"/>
          <w:left w:w="15" w:type="dxa"/>
          <w:bottom w:w="15" w:type="dxa"/>
          <w:right w:w="15" w:type="dxa"/>
        </w:tblCellMar>
        <w:tblLook w:val="04A0" w:firstRow="1" w:lastRow="0" w:firstColumn="1" w:lastColumn="0" w:noHBand="0" w:noVBand="1"/>
      </w:tblPr>
      <w:tblGrid>
        <w:gridCol w:w="2818"/>
        <w:gridCol w:w="3905"/>
        <w:gridCol w:w="1557"/>
        <w:gridCol w:w="3333"/>
        <w:gridCol w:w="564"/>
        <w:gridCol w:w="2598"/>
      </w:tblGrid>
      <w:tr w:rsidR="007E5B37" w:rsidRPr="007E5B37" w14:paraId="4420224A" w14:textId="77777777" w:rsidTr="007E5B37">
        <w:trPr>
          <w:tblHeader/>
        </w:trPr>
        <w:tc>
          <w:tcPr>
            <w:tcW w:w="0" w:type="auto"/>
            <w:gridSpan w:val="6"/>
            <w:tcBorders>
              <w:top w:val="nil"/>
              <w:left w:val="nil"/>
              <w:bottom w:val="nil"/>
              <w:right w:val="nil"/>
            </w:tcBorders>
            <w:vAlign w:val="center"/>
            <w:hideMark/>
          </w:tcPr>
          <w:p w14:paraId="736350D0" w14:textId="77777777" w:rsidR="007E5B37" w:rsidRPr="007E5B37" w:rsidRDefault="007E5B37" w:rsidP="007E5B37">
            <w:pPr>
              <w:shd w:val="clear" w:color="auto" w:fill="FFFFFF"/>
              <w:rPr>
                <w:sz w:val="18"/>
                <w:szCs w:val="18"/>
              </w:rPr>
            </w:pPr>
            <w:r w:rsidRPr="007E5B37">
              <w:rPr>
                <w:sz w:val="18"/>
                <w:szCs w:val="18"/>
              </w:rPr>
              <w:t>Influenza vaccines — United States, 2022–23 influenza season*</w:t>
            </w:r>
          </w:p>
        </w:tc>
      </w:tr>
      <w:tr w:rsidR="007E5B37" w:rsidRPr="007E5B37" w14:paraId="7349A6C8" w14:textId="77777777" w:rsidTr="007E5B37">
        <w:trPr>
          <w:tblHeader/>
        </w:trPr>
        <w:tc>
          <w:tcPr>
            <w:tcW w:w="0" w:type="auto"/>
            <w:tcBorders>
              <w:top w:val="single" w:sz="6" w:space="0" w:color="DEE2E6"/>
              <w:left w:val="single" w:sz="6" w:space="0" w:color="DEE2E6"/>
              <w:bottom w:val="single" w:sz="12" w:space="0" w:color="DEE2E6"/>
              <w:right w:val="single" w:sz="6" w:space="0" w:color="DEE2E6"/>
            </w:tcBorders>
            <w:vAlign w:val="bottom"/>
            <w:hideMark/>
          </w:tcPr>
          <w:p w14:paraId="1FD04BEC" w14:textId="77777777" w:rsidR="007E5B37" w:rsidRPr="007E5B37" w:rsidRDefault="007E5B37" w:rsidP="007E5B37">
            <w:pPr>
              <w:shd w:val="clear" w:color="auto" w:fill="FFFFFF"/>
              <w:rPr>
                <w:b/>
                <w:bCs/>
                <w:sz w:val="18"/>
                <w:szCs w:val="18"/>
              </w:rPr>
            </w:pPr>
            <w:r w:rsidRPr="007E5B37">
              <w:rPr>
                <w:b/>
                <w:bCs/>
                <w:sz w:val="18"/>
                <w:szCs w:val="18"/>
              </w:rPr>
              <w:t>Trade name (manufacturer)</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14FD6AD0" w14:textId="77777777" w:rsidR="007E5B37" w:rsidRPr="007E5B37" w:rsidRDefault="007E5B37" w:rsidP="007E5B37">
            <w:pPr>
              <w:shd w:val="clear" w:color="auto" w:fill="FFFFFF"/>
              <w:rPr>
                <w:b/>
                <w:bCs/>
                <w:sz w:val="18"/>
                <w:szCs w:val="18"/>
              </w:rPr>
            </w:pPr>
            <w:r w:rsidRPr="007E5B37">
              <w:rPr>
                <w:b/>
                <w:bCs/>
                <w:sz w:val="18"/>
                <w:szCs w:val="18"/>
              </w:rPr>
              <w:t>Presentations</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58F76B61" w14:textId="77777777" w:rsidR="007E5B37" w:rsidRPr="007E5B37" w:rsidRDefault="007E5B37" w:rsidP="007E5B37">
            <w:pPr>
              <w:shd w:val="clear" w:color="auto" w:fill="FFFFFF"/>
              <w:rPr>
                <w:b/>
                <w:bCs/>
                <w:sz w:val="18"/>
                <w:szCs w:val="18"/>
              </w:rPr>
            </w:pPr>
            <w:r w:rsidRPr="007E5B37">
              <w:rPr>
                <w:b/>
                <w:bCs/>
                <w:sz w:val="18"/>
                <w:szCs w:val="18"/>
              </w:rPr>
              <w:t>Age indication</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26DF3C76" w14:textId="77777777" w:rsidR="007E5B37" w:rsidRPr="007E5B37" w:rsidRDefault="007E5B37" w:rsidP="007E5B37">
            <w:pPr>
              <w:shd w:val="clear" w:color="auto" w:fill="FFFFFF"/>
              <w:rPr>
                <w:b/>
                <w:bCs/>
                <w:sz w:val="18"/>
                <w:szCs w:val="18"/>
              </w:rPr>
            </w:pPr>
            <w:r w:rsidRPr="007E5B37">
              <w:rPr>
                <w:b/>
                <w:bCs/>
                <w:i/>
                <w:iCs/>
                <w:sz w:val="18"/>
                <w:szCs w:val="18"/>
              </w:rPr>
              <w:t>µ</w:t>
            </w:r>
            <w:r w:rsidRPr="007E5B37">
              <w:rPr>
                <w:b/>
                <w:bCs/>
                <w:sz w:val="18"/>
                <w:szCs w:val="18"/>
              </w:rPr>
              <w:t>g HA (IIV4s and RIV4)</w:t>
            </w:r>
            <w:r w:rsidRPr="007E5B37">
              <w:rPr>
                <w:b/>
                <w:bCs/>
                <w:sz w:val="18"/>
                <w:szCs w:val="18"/>
              </w:rPr>
              <w:br/>
              <w:t>or virus count (LAIV4)</w:t>
            </w:r>
            <w:r w:rsidRPr="007E5B37">
              <w:rPr>
                <w:b/>
                <w:bCs/>
                <w:sz w:val="18"/>
                <w:szCs w:val="18"/>
              </w:rPr>
              <w:br/>
              <w:t>for each vaccine virus (per dose)</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5D1F34A3" w14:textId="77777777" w:rsidR="007E5B37" w:rsidRPr="007E5B37" w:rsidRDefault="007E5B37" w:rsidP="007E5B37">
            <w:pPr>
              <w:shd w:val="clear" w:color="auto" w:fill="FFFFFF"/>
              <w:rPr>
                <w:b/>
                <w:bCs/>
                <w:sz w:val="18"/>
                <w:szCs w:val="18"/>
              </w:rPr>
            </w:pPr>
            <w:r w:rsidRPr="007E5B37">
              <w:rPr>
                <w:b/>
                <w:bCs/>
                <w:sz w:val="18"/>
                <w:szCs w:val="18"/>
              </w:rPr>
              <w:t>Route</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11332CC8" w14:textId="77777777" w:rsidR="007E5B37" w:rsidRPr="007E5B37" w:rsidRDefault="007E5B37" w:rsidP="007E5B37">
            <w:pPr>
              <w:shd w:val="clear" w:color="auto" w:fill="FFFFFF"/>
              <w:rPr>
                <w:b/>
                <w:bCs/>
                <w:sz w:val="18"/>
                <w:szCs w:val="18"/>
              </w:rPr>
            </w:pPr>
            <w:r w:rsidRPr="007E5B37">
              <w:rPr>
                <w:b/>
                <w:bCs/>
                <w:sz w:val="18"/>
                <w:szCs w:val="18"/>
              </w:rPr>
              <w:t>Mercury</w:t>
            </w:r>
            <w:r w:rsidRPr="007E5B37">
              <w:rPr>
                <w:b/>
                <w:bCs/>
                <w:sz w:val="18"/>
                <w:szCs w:val="18"/>
              </w:rPr>
              <w:br/>
              <w:t>(from thimerosal, if present),</w:t>
            </w:r>
            <w:r w:rsidRPr="007E5B37">
              <w:rPr>
                <w:b/>
                <w:bCs/>
                <w:sz w:val="18"/>
                <w:szCs w:val="18"/>
              </w:rPr>
              <w:br/>
            </w:r>
            <w:r w:rsidRPr="007E5B37">
              <w:rPr>
                <w:b/>
                <w:bCs/>
                <w:i/>
                <w:iCs/>
                <w:sz w:val="18"/>
                <w:szCs w:val="18"/>
              </w:rPr>
              <w:t>µ</w:t>
            </w:r>
            <w:r w:rsidRPr="007E5B37">
              <w:rPr>
                <w:b/>
                <w:bCs/>
                <w:sz w:val="18"/>
                <w:szCs w:val="18"/>
              </w:rPr>
              <w:t>g/0.5 mL</w:t>
            </w:r>
          </w:p>
        </w:tc>
      </w:tr>
      <w:tr w:rsidR="007E5B37" w:rsidRPr="007E5B37" w14:paraId="1635378A" w14:textId="77777777" w:rsidTr="007E5B37">
        <w:tc>
          <w:tcPr>
            <w:tcW w:w="0" w:type="auto"/>
            <w:gridSpan w:val="6"/>
            <w:tcBorders>
              <w:top w:val="single" w:sz="6" w:space="0" w:color="DEE2E6"/>
              <w:left w:val="single" w:sz="6" w:space="0" w:color="DEE2E6"/>
              <w:bottom w:val="single" w:sz="6" w:space="0" w:color="DEE2E6"/>
              <w:right w:val="single" w:sz="6" w:space="0" w:color="DEE2E6"/>
            </w:tcBorders>
            <w:hideMark/>
          </w:tcPr>
          <w:p w14:paraId="6B903459" w14:textId="77777777" w:rsidR="007E5B37" w:rsidRPr="007E5B37" w:rsidRDefault="007E5B37" w:rsidP="007E5B37">
            <w:pPr>
              <w:shd w:val="clear" w:color="auto" w:fill="FFFFFF"/>
              <w:rPr>
                <w:sz w:val="18"/>
                <w:szCs w:val="18"/>
              </w:rPr>
            </w:pPr>
            <w:r w:rsidRPr="007E5B37">
              <w:rPr>
                <w:b/>
                <w:bCs/>
                <w:sz w:val="18"/>
                <w:szCs w:val="18"/>
              </w:rPr>
              <w:t>IIV4 (standard-dose, egg-based vaccines</w:t>
            </w:r>
            <w:r w:rsidRPr="007E5B37">
              <w:rPr>
                <w:b/>
                <w:bCs/>
                <w:sz w:val="18"/>
                <w:szCs w:val="18"/>
                <w:vertAlign w:val="superscript"/>
              </w:rPr>
              <w:t>†</w:t>
            </w:r>
            <w:r w:rsidRPr="007E5B37">
              <w:rPr>
                <w:b/>
                <w:bCs/>
                <w:sz w:val="18"/>
                <w:szCs w:val="18"/>
              </w:rPr>
              <w:t>)</w:t>
            </w:r>
          </w:p>
        </w:tc>
      </w:tr>
      <w:tr w:rsidR="007E5B37" w:rsidRPr="007E5B37" w14:paraId="0F7FFCE1" w14:textId="77777777" w:rsidTr="007E5B37">
        <w:tc>
          <w:tcPr>
            <w:tcW w:w="0" w:type="auto"/>
            <w:vMerge w:val="restart"/>
            <w:tcBorders>
              <w:top w:val="single" w:sz="6" w:space="0" w:color="DEE2E6"/>
              <w:left w:val="single" w:sz="6" w:space="0" w:color="DEE2E6"/>
              <w:bottom w:val="single" w:sz="6" w:space="0" w:color="DEE2E6"/>
              <w:right w:val="single" w:sz="6" w:space="0" w:color="DEE2E6"/>
            </w:tcBorders>
            <w:hideMark/>
          </w:tcPr>
          <w:p w14:paraId="12A070B1" w14:textId="77777777" w:rsidR="007E5B37" w:rsidRPr="007E5B37" w:rsidRDefault="007E5B37" w:rsidP="007E5B37">
            <w:pPr>
              <w:shd w:val="clear" w:color="auto" w:fill="FFFFFF"/>
              <w:rPr>
                <w:sz w:val="18"/>
                <w:szCs w:val="18"/>
              </w:rPr>
            </w:pPr>
            <w:r w:rsidRPr="007E5B37">
              <w:rPr>
                <w:sz w:val="18"/>
                <w:szCs w:val="18"/>
              </w:rPr>
              <w:t>Afluria Quadrivalent</w:t>
            </w:r>
            <w:r w:rsidRPr="007E5B37">
              <w:rPr>
                <w:sz w:val="18"/>
                <w:szCs w:val="18"/>
              </w:rPr>
              <w:br/>
              <w:t>(Seqirus)</w:t>
            </w:r>
          </w:p>
        </w:tc>
        <w:tc>
          <w:tcPr>
            <w:tcW w:w="0" w:type="auto"/>
            <w:vAlign w:val="center"/>
            <w:hideMark/>
          </w:tcPr>
          <w:p w14:paraId="300FFBB0" w14:textId="77777777" w:rsidR="007E5B37" w:rsidRPr="007E5B37" w:rsidRDefault="007E5B37" w:rsidP="007E5B37">
            <w:pPr>
              <w:shd w:val="clear" w:color="auto" w:fill="FFFFFF"/>
              <w:rPr>
                <w:sz w:val="18"/>
                <w:szCs w:val="18"/>
              </w:rPr>
            </w:pPr>
          </w:p>
        </w:tc>
        <w:tc>
          <w:tcPr>
            <w:tcW w:w="0" w:type="auto"/>
            <w:vAlign w:val="center"/>
            <w:hideMark/>
          </w:tcPr>
          <w:p w14:paraId="70374A0E" w14:textId="77777777" w:rsidR="007E5B37" w:rsidRPr="007E5B37" w:rsidRDefault="007E5B37" w:rsidP="007E5B37">
            <w:pPr>
              <w:shd w:val="clear" w:color="auto" w:fill="FFFFFF"/>
              <w:rPr>
                <w:sz w:val="18"/>
                <w:szCs w:val="18"/>
              </w:rPr>
            </w:pPr>
          </w:p>
        </w:tc>
        <w:tc>
          <w:tcPr>
            <w:tcW w:w="0" w:type="auto"/>
            <w:vAlign w:val="center"/>
            <w:hideMark/>
          </w:tcPr>
          <w:p w14:paraId="1420E0FE" w14:textId="77777777" w:rsidR="007E5B37" w:rsidRPr="007E5B37" w:rsidRDefault="007E5B37" w:rsidP="007E5B37">
            <w:pPr>
              <w:shd w:val="clear" w:color="auto" w:fill="FFFFFF"/>
              <w:rPr>
                <w:sz w:val="18"/>
                <w:szCs w:val="18"/>
              </w:rPr>
            </w:pPr>
          </w:p>
        </w:tc>
        <w:tc>
          <w:tcPr>
            <w:tcW w:w="0" w:type="auto"/>
            <w:vAlign w:val="center"/>
            <w:hideMark/>
          </w:tcPr>
          <w:p w14:paraId="4C6424F3" w14:textId="77777777" w:rsidR="007E5B37" w:rsidRPr="007E5B37" w:rsidRDefault="007E5B37" w:rsidP="007E5B37">
            <w:pPr>
              <w:shd w:val="clear" w:color="auto" w:fill="FFFFFF"/>
              <w:rPr>
                <w:sz w:val="18"/>
                <w:szCs w:val="18"/>
              </w:rPr>
            </w:pPr>
          </w:p>
        </w:tc>
        <w:tc>
          <w:tcPr>
            <w:tcW w:w="0" w:type="auto"/>
            <w:vAlign w:val="center"/>
            <w:hideMark/>
          </w:tcPr>
          <w:p w14:paraId="38EA4C5A" w14:textId="77777777" w:rsidR="007E5B37" w:rsidRPr="007E5B37" w:rsidRDefault="007E5B37" w:rsidP="007E5B37">
            <w:pPr>
              <w:shd w:val="clear" w:color="auto" w:fill="FFFFFF"/>
              <w:rPr>
                <w:sz w:val="18"/>
                <w:szCs w:val="18"/>
              </w:rPr>
            </w:pPr>
          </w:p>
        </w:tc>
      </w:tr>
      <w:tr w:rsidR="007E5B37" w:rsidRPr="007E5B37" w14:paraId="473A9108" w14:textId="77777777" w:rsidTr="007E5B37">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3C14F198" w14:textId="77777777" w:rsidR="007E5B37" w:rsidRPr="007E5B37" w:rsidRDefault="007E5B37" w:rsidP="007E5B37">
            <w:pPr>
              <w:shd w:val="clear" w:color="auto" w:fill="FFFFFF"/>
              <w:rPr>
                <w:sz w:val="18"/>
                <w:szCs w:val="18"/>
              </w:rPr>
            </w:pPr>
          </w:p>
        </w:tc>
        <w:tc>
          <w:tcPr>
            <w:tcW w:w="0" w:type="auto"/>
            <w:tcBorders>
              <w:top w:val="single" w:sz="6" w:space="0" w:color="DEE2E6"/>
              <w:left w:val="single" w:sz="6" w:space="0" w:color="DEE2E6"/>
              <w:bottom w:val="single" w:sz="6" w:space="0" w:color="DEE2E6"/>
              <w:right w:val="single" w:sz="6" w:space="0" w:color="DEE2E6"/>
            </w:tcBorders>
            <w:hideMark/>
          </w:tcPr>
          <w:p w14:paraId="0A85345B" w14:textId="77777777" w:rsidR="007E5B37" w:rsidRPr="007E5B37" w:rsidRDefault="007E5B37" w:rsidP="007E5B37">
            <w:pPr>
              <w:shd w:val="clear" w:color="auto" w:fill="FFFFFF"/>
              <w:rPr>
                <w:sz w:val="18"/>
                <w:szCs w:val="18"/>
              </w:rPr>
            </w:pPr>
            <w:r w:rsidRPr="007E5B37">
              <w:rPr>
                <w:sz w:val="18"/>
                <w:szCs w:val="18"/>
              </w:rPr>
              <w:t>0.5-mL PFS</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33363C42" w14:textId="77777777" w:rsidR="007E5B37" w:rsidRPr="007E5B37" w:rsidRDefault="007E5B37" w:rsidP="007E5B37">
            <w:pPr>
              <w:shd w:val="clear" w:color="auto" w:fill="FFFFFF"/>
              <w:rPr>
                <w:sz w:val="18"/>
                <w:szCs w:val="18"/>
              </w:rPr>
            </w:pPr>
            <w:r w:rsidRPr="007E5B37">
              <w:rPr>
                <w:sz w:val="18"/>
                <w:szCs w:val="18"/>
              </w:rPr>
              <w:t>≥3 yrs</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42B28878"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562A2AED"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2ABD9CF1" w14:textId="77777777" w:rsidR="007E5B37" w:rsidRPr="007E5B37" w:rsidRDefault="007E5B37" w:rsidP="007E5B37">
            <w:pPr>
              <w:shd w:val="clear" w:color="auto" w:fill="FFFFFF"/>
              <w:rPr>
                <w:sz w:val="18"/>
                <w:szCs w:val="18"/>
              </w:rPr>
            </w:pPr>
            <w:r w:rsidRPr="007E5B37">
              <w:rPr>
                <w:sz w:val="18"/>
                <w:szCs w:val="18"/>
              </w:rPr>
              <w:t>—</w:t>
            </w:r>
            <w:r w:rsidRPr="007E5B37">
              <w:rPr>
                <w:sz w:val="18"/>
                <w:szCs w:val="18"/>
                <w:vertAlign w:val="superscript"/>
              </w:rPr>
              <w:t>**</w:t>
            </w:r>
          </w:p>
        </w:tc>
      </w:tr>
      <w:tr w:rsidR="007E5B37" w:rsidRPr="007E5B37" w14:paraId="2A2AF273" w14:textId="77777777" w:rsidTr="007E5B37">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2CDAC4B0" w14:textId="77777777" w:rsidR="007E5B37" w:rsidRPr="007E5B37" w:rsidRDefault="007E5B37" w:rsidP="007E5B37">
            <w:pPr>
              <w:shd w:val="clear" w:color="auto" w:fill="FFFFFF"/>
              <w:rPr>
                <w:sz w:val="18"/>
                <w:szCs w:val="18"/>
              </w:rPr>
            </w:pPr>
          </w:p>
        </w:tc>
        <w:tc>
          <w:tcPr>
            <w:tcW w:w="0" w:type="auto"/>
            <w:tcBorders>
              <w:top w:val="single" w:sz="6" w:space="0" w:color="DEE2E6"/>
              <w:left w:val="single" w:sz="6" w:space="0" w:color="DEE2E6"/>
              <w:bottom w:val="single" w:sz="6" w:space="0" w:color="DEE2E6"/>
              <w:right w:val="single" w:sz="6" w:space="0" w:color="DEE2E6"/>
            </w:tcBorders>
            <w:hideMark/>
          </w:tcPr>
          <w:p w14:paraId="5FB8532D" w14:textId="77777777" w:rsidR="007E5B37" w:rsidRPr="007E5B37" w:rsidRDefault="007E5B37" w:rsidP="007E5B37">
            <w:pPr>
              <w:shd w:val="clear" w:color="auto" w:fill="FFFFFF"/>
              <w:rPr>
                <w:sz w:val="18"/>
                <w:szCs w:val="18"/>
              </w:rPr>
            </w:pPr>
            <w:r w:rsidRPr="007E5B37">
              <w:rPr>
                <w:sz w:val="18"/>
                <w:szCs w:val="18"/>
              </w:rPr>
              <w:t>5.0-mL MDV</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3D5BCAE0" w14:textId="77777777" w:rsidR="007E5B37" w:rsidRPr="007E5B37" w:rsidRDefault="007E5B37" w:rsidP="007E5B37">
            <w:pPr>
              <w:shd w:val="clear" w:color="auto" w:fill="FFFFFF"/>
              <w:rPr>
                <w:sz w:val="18"/>
                <w:szCs w:val="18"/>
              </w:rPr>
            </w:pPr>
            <w:r w:rsidRPr="007E5B37">
              <w:rPr>
                <w:sz w:val="18"/>
                <w:szCs w:val="18"/>
              </w:rPr>
              <w:t>≥6 mos</w:t>
            </w:r>
            <w:r w:rsidRPr="007E5B37">
              <w:rPr>
                <w:sz w:val="18"/>
                <w:szCs w:val="18"/>
                <w:vertAlign w:val="superscript"/>
              </w:rPr>
              <w:t>§</w:t>
            </w:r>
            <w:r w:rsidRPr="007E5B37">
              <w:rPr>
                <w:sz w:val="18"/>
                <w:szCs w:val="18"/>
                <w:vertAlign w:val="superscript"/>
              </w:rPr>
              <w:br/>
            </w:r>
            <w:r w:rsidRPr="007E5B37">
              <w:rPr>
                <w:sz w:val="18"/>
                <w:szCs w:val="18"/>
              </w:rPr>
              <w:t>(needle/syringe)</w:t>
            </w:r>
            <w:r w:rsidRPr="007E5B37">
              <w:rPr>
                <w:sz w:val="18"/>
                <w:szCs w:val="18"/>
              </w:rPr>
              <w:br/>
              <w:t>18 through 64 yrs</w:t>
            </w:r>
            <w:r w:rsidRPr="007E5B37">
              <w:rPr>
                <w:sz w:val="18"/>
                <w:szCs w:val="18"/>
              </w:rPr>
              <w:br/>
              <w:t>(jet injector)</w:t>
            </w:r>
          </w:p>
        </w:tc>
        <w:tc>
          <w:tcPr>
            <w:tcW w:w="0" w:type="auto"/>
            <w:tcBorders>
              <w:top w:val="single" w:sz="6" w:space="0" w:color="DEE2E6"/>
              <w:left w:val="single" w:sz="6" w:space="0" w:color="DEE2E6"/>
              <w:bottom w:val="single" w:sz="6" w:space="0" w:color="DEE2E6"/>
              <w:right w:val="single" w:sz="6" w:space="0" w:color="DEE2E6"/>
            </w:tcBorders>
            <w:hideMark/>
          </w:tcPr>
          <w:p w14:paraId="0582D1F0" w14:textId="77777777" w:rsidR="007E5B37" w:rsidRPr="007E5B37" w:rsidRDefault="007E5B37" w:rsidP="007E5B37">
            <w:pPr>
              <w:shd w:val="clear" w:color="auto" w:fill="FFFFFF"/>
              <w:rPr>
                <w:sz w:val="18"/>
                <w:szCs w:val="18"/>
              </w:rPr>
            </w:pPr>
            <w:r w:rsidRPr="007E5B37">
              <w:rPr>
                <w:sz w:val="18"/>
                <w:szCs w:val="18"/>
              </w:rPr>
              <w:t>7.5 </w:t>
            </w:r>
            <w:r w:rsidRPr="007E5B37">
              <w:rPr>
                <w:i/>
                <w:iCs/>
                <w:sz w:val="18"/>
                <w:szCs w:val="18"/>
              </w:rPr>
              <w:t>µ</w:t>
            </w:r>
            <w:r w:rsidRPr="007E5B37">
              <w:rPr>
                <w:sz w:val="18"/>
                <w:szCs w:val="18"/>
              </w:rPr>
              <w:t>g/0.25 mL</w:t>
            </w:r>
            <w:r w:rsidRPr="007E5B37">
              <w:rPr>
                <w:sz w:val="18"/>
                <w:szCs w:val="18"/>
              </w:rPr>
              <w:b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06BCA082"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0D66572C" w14:textId="77777777" w:rsidR="007E5B37" w:rsidRPr="007E5B37" w:rsidRDefault="007E5B37" w:rsidP="007E5B37">
            <w:pPr>
              <w:shd w:val="clear" w:color="auto" w:fill="FFFFFF"/>
              <w:rPr>
                <w:sz w:val="18"/>
                <w:szCs w:val="18"/>
              </w:rPr>
            </w:pPr>
            <w:r w:rsidRPr="007E5B37">
              <w:rPr>
                <w:sz w:val="18"/>
                <w:szCs w:val="18"/>
              </w:rPr>
              <w:t>24.5</w:t>
            </w:r>
          </w:p>
        </w:tc>
      </w:tr>
      <w:tr w:rsidR="007E5B37" w:rsidRPr="007E5B37" w14:paraId="175F92C9" w14:textId="77777777" w:rsidTr="007E5B37">
        <w:tc>
          <w:tcPr>
            <w:tcW w:w="0" w:type="auto"/>
            <w:tcBorders>
              <w:top w:val="single" w:sz="6" w:space="0" w:color="DEE2E6"/>
              <w:left w:val="single" w:sz="6" w:space="0" w:color="DEE2E6"/>
              <w:bottom w:val="single" w:sz="6" w:space="0" w:color="DEE2E6"/>
              <w:right w:val="single" w:sz="6" w:space="0" w:color="DEE2E6"/>
            </w:tcBorders>
            <w:hideMark/>
          </w:tcPr>
          <w:p w14:paraId="4CA3F9D9" w14:textId="77777777" w:rsidR="007E5B37" w:rsidRPr="007E5B37" w:rsidRDefault="007E5B37" w:rsidP="007E5B37">
            <w:pPr>
              <w:shd w:val="clear" w:color="auto" w:fill="FFFFFF"/>
              <w:rPr>
                <w:sz w:val="18"/>
                <w:szCs w:val="18"/>
              </w:rPr>
            </w:pPr>
            <w:r w:rsidRPr="007E5B37">
              <w:rPr>
                <w:sz w:val="18"/>
                <w:szCs w:val="18"/>
              </w:rPr>
              <w:t>Fluarix Quadrivalent</w:t>
            </w:r>
            <w:r w:rsidRPr="007E5B37">
              <w:rPr>
                <w:sz w:val="18"/>
                <w:szCs w:val="18"/>
              </w:rPr>
              <w:br/>
              <w:t>(GlaxoSmithKline)</w:t>
            </w:r>
          </w:p>
        </w:tc>
        <w:tc>
          <w:tcPr>
            <w:tcW w:w="0" w:type="auto"/>
            <w:tcBorders>
              <w:top w:val="single" w:sz="6" w:space="0" w:color="DEE2E6"/>
              <w:left w:val="single" w:sz="6" w:space="0" w:color="DEE2E6"/>
              <w:bottom w:val="single" w:sz="6" w:space="0" w:color="DEE2E6"/>
              <w:right w:val="single" w:sz="6" w:space="0" w:color="DEE2E6"/>
            </w:tcBorders>
            <w:hideMark/>
          </w:tcPr>
          <w:p w14:paraId="49B4CC07" w14:textId="77777777" w:rsidR="007E5B37" w:rsidRPr="007E5B37" w:rsidRDefault="007E5B37" w:rsidP="007E5B37">
            <w:pPr>
              <w:shd w:val="clear" w:color="auto" w:fill="FFFFFF"/>
              <w:rPr>
                <w:sz w:val="18"/>
                <w:szCs w:val="18"/>
              </w:rPr>
            </w:pPr>
            <w:r w:rsidRPr="007E5B37">
              <w:rPr>
                <w:sz w:val="18"/>
                <w:szCs w:val="18"/>
              </w:rPr>
              <w:t>0.5-mL PFS</w:t>
            </w:r>
          </w:p>
        </w:tc>
        <w:tc>
          <w:tcPr>
            <w:tcW w:w="0" w:type="auto"/>
            <w:tcBorders>
              <w:top w:val="single" w:sz="6" w:space="0" w:color="DEE2E6"/>
              <w:left w:val="single" w:sz="6" w:space="0" w:color="DEE2E6"/>
              <w:bottom w:val="single" w:sz="6" w:space="0" w:color="DEE2E6"/>
              <w:right w:val="single" w:sz="6" w:space="0" w:color="DEE2E6"/>
            </w:tcBorders>
            <w:hideMark/>
          </w:tcPr>
          <w:p w14:paraId="38040C59" w14:textId="77777777" w:rsidR="007E5B37" w:rsidRPr="007E5B37" w:rsidRDefault="007E5B37" w:rsidP="007E5B37">
            <w:pPr>
              <w:shd w:val="clear" w:color="auto" w:fill="FFFFFF"/>
              <w:rPr>
                <w:sz w:val="18"/>
                <w:szCs w:val="18"/>
              </w:rPr>
            </w:pPr>
            <w:r w:rsidRPr="007E5B37">
              <w:rPr>
                <w:sz w:val="18"/>
                <w:szCs w:val="18"/>
              </w:rPr>
              <w:t>≥6 mos</w:t>
            </w:r>
          </w:p>
        </w:tc>
        <w:tc>
          <w:tcPr>
            <w:tcW w:w="0" w:type="auto"/>
            <w:tcBorders>
              <w:top w:val="single" w:sz="6" w:space="0" w:color="DEE2E6"/>
              <w:left w:val="single" w:sz="6" w:space="0" w:color="DEE2E6"/>
              <w:bottom w:val="single" w:sz="6" w:space="0" w:color="DEE2E6"/>
              <w:right w:val="single" w:sz="6" w:space="0" w:color="DEE2E6"/>
            </w:tcBorders>
            <w:hideMark/>
          </w:tcPr>
          <w:p w14:paraId="0E5A8A14"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426FC947"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5589827B"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1756D0B7" w14:textId="77777777" w:rsidTr="007E5B37">
        <w:tc>
          <w:tcPr>
            <w:tcW w:w="0" w:type="auto"/>
            <w:tcBorders>
              <w:top w:val="single" w:sz="6" w:space="0" w:color="DEE2E6"/>
              <w:left w:val="single" w:sz="6" w:space="0" w:color="DEE2E6"/>
              <w:bottom w:val="single" w:sz="6" w:space="0" w:color="DEE2E6"/>
              <w:right w:val="single" w:sz="6" w:space="0" w:color="DEE2E6"/>
            </w:tcBorders>
            <w:hideMark/>
          </w:tcPr>
          <w:p w14:paraId="488EE44A" w14:textId="77777777" w:rsidR="007E5B37" w:rsidRPr="007E5B37" w:rsidRDefault="007E5B37" w:rsidP="007E5B37">
            <w:pPr>
              <w:shd w:val="clear" w:color="auto" w:fill="FFFFFF"/>
              <w:rPr>
                <w:sz w:val="18"/>
                <w:szCs w:val="18"/>
              </w:rPr>
            </w:pPr>
            <w:r w:rsidRPr="007E5B37">
              <w:rPr>
                <w:sz w:val="18"/>
                <w:szCs w:val="18"/>
              </w:rPr>
              <w:t>FluLaval Quadrivalent</w:t>
            </w:r>
            <w:r w:rsidRPr="007E5B37">
              <w:rPr>
                <w:sz w:val="18"/>
                <w:szCs w:val="18"/>
              </w:rPr>
              <w:br/>
              <w:t>(GlaxoSmithKline)</w:t>
            </w:r>
          </w:p>
        </w:tc>
        <w:tc>
          <w:tcPr>
            <w:tcW w:w="0" w:type="auto"/>
            <w:tcBorders>
              <w:top w:val="single" w:sz="6" w:space="0" w:color="DEE2E6"/>
              <w:left w:val="single" w:sz="6" w:space="0" w:color="DEE2E6"/>
              <w:bottom w:val="single" w:sz="6" w:space="0" w:color="DEE2E6"/>
              <w:right w:val="single" w:sz="6" w:space="0" w:color="DEE2E6"/>
            </w:tcBorders>
            <w:hideMark/>
          </w:tcPr>
          <w:p w14:paraId="2CD8B85C" w14:textId="77777777" w:rsidR="007E5B37" w:rsidRPr="007E5B37" w:rsidRDefault="007E5B37" w:rsidP="007E5B37">
            <w:pPr>
              <w:shd w:val="clear" w:color="auto" w:fill="FFFFFF"/>
              <w:rPr>
                <w:sz w:val="18"/>
                <w:szCs w:val="18"/>
              </w:rPr>
            </w:pPr>
            <w:r w:rsidRPr="007E5B37">
              <w:rPr>
                <w:sz w:val="18"/>
                <w:szCs w:val="18"/>
              </w:rPr>
              <w:t>0.5-mL PFS</w:t>
            </w:r>
          </w:p>
        </w:tc>
        <w:tc>
          <w:tcPr>
            <w:tcW w:w="0" w:type="auto"/>
            <w:tcBorders>
              <w:top w:val="single" w:sz="6" w:space="0" w:color="DEE2E6"/>
              <w:left w:val="single" w:sz="6" w:space="0" w:color="DEE2E6"/>
              <w:bottom w:val="single" w:sz="6" w:space="0" w:color="DEE2E6"/>
              <w:right w:val="single" w:sz="6" w:space="0" w:color="DEE2E6"/>
            </w:tcBorders>
            <w:hideMark/>
          </w:tcPr>
          <w:p w14:paraId="11257439" w14:textId="77777777" w:rsidR="007E5B37" w:rsidRPr="007E5B37" w:rsidRDefault="007E5B37" w:rsidP="007E5B37">
            <w:pPr>
              <w:shd w:val="clear" w:color="auto" w:fill="FFFFFF"/>
              <w:rPr>
                <w:sz w:val="18"/>
                <w:szCs w:val="18"/>
              </w:rPr>
            </w:pPr>
            <w:r w:rsidRPr="007E5B37">
              <w:rPr>
                <w:sz w:val="18"/>
                <w:szCs w:val="18"/>
              </w:rPr>
              <w:t>≥6 mos</w:t>
            </w:r>
          </w:p>
        </w:tc>
        <w:tc>
          <w:tcPr>
            <w:tcW w:w="0" w:type="auto"/>
            <w:tcBorders>
              <w:top w:val="single" w:sz="6" w:space="0" w:color="DEE2E6"/>
              <w:left w:val="single" w:sz="6" w:space="0" w:color="DEE2E6"/>
              <w:bottom w:val="single" w:sz="6" w:space="0" w:color="DEE2E6"/>
              <w:right w:val="single" w:sz="6" w:space="0" w:color="DEE2E6"/>
            </w:tcBorders>
            <w:hideMark/>
          </w:tcPr>
          <w:p w14:paraId="64E8572B"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4064E9C2"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7A6888D8"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32A6D15E" w14:textId="77777777" w:rsidTr="007E5B37">
        <w:tc>
          <w:tcPr>
            <w:tcW w:w="0" w:type="auto"/>
            <w:vMerge w:val="restart"/>
            <w:tcBorders>
              <w:top w:val="single" w:sz="6" w:space="0" w:color="DEE2E6"/>
              <w:left w:val="single" w:sz="6" w:space="0" w:color="DEE2E6"/>
              <w:bottom w:val="single" w:sz="6" w:space="0" w:color="DEE2E6"/>
              <w:right w:val="single" w:sz="6" w:space="0" w:color="DEE2E6"/>
            </w:tcBorders>
            <w:hideMark/>
          </w:tcPr>
          <w:p w14:paraId="7891B4E6" w14:textId="77777777" w:rsidR="007E5B37" w:rsidRPr="007E5B37" w:rsidRDefault="007E5B37" w:rsidP="007E5B37">
            <w:pPr>
              <w:shd w:val="clear" w:color="auto" w:fill="FFFFFF"/>
              <w:rPr>
                <w:sz w:val="18"/>
                <w:szCs w:val="18"/>
              </w:rPr>
            </w:pPr>
            <w:r w:rsidRPr="007E5B37">
              <w:rPr>
                <w:sz w:val="18"/>
                <w:szCs w:val="18"/>
              </w:rPr>
              <w:t>Fluzone Quadrivalent</w:t>
            </w:r>
            <w:r w:rsidRPr="007E5B37">
              <w:rPr>
                <w:sz w:val="18"/>
                <w:szCs w:val="18"/>
              </w:rPr>
              <w:br/>
              <w:t>(Sanofi Pasteur)</w:t>
            </w:r>
          </w:p>
        </w:tc>
        <w:tc>
          <w:tcPr>
            <w:tcW w:w="0" w:type="auto"/>
            <w:tcBorders>
              <w:top w:val="single" w:sz="6" w:space="0" w:color="DEE2E6"/>
              <w:left w:val="single" w:sz="6" w:space="0" w:color="DEE2E6"/>
              <w:bottom w:val="single" w:sz="6" w:space="0" w:color="DEE2E6"/>
              <w:right w:val="single" w:sz="6" w:space="0" w:color="DEE2E6"/>
            </w:tcBorders>
            <w:hideMark/>
          </w:tcPr>
          <w:p w14:paraId="08D5D325" w14:textId="77777777" w:rsidR="007E5B37" w:rsidRPr="007E5B37" w:rsidRDefault="007E5B37" w:rsidP="007E5B37">
            <w:pPr>
              <w:shd w:val="clear" w:color="auto" w:fill="FFFFFF"/>
              <w:rPr>
                <w:sz w:val="18"/>
                <w:szCs w:val="18"/>
              </w:rPr>
            </w:pPr>
            <w:r w:rsidRPr="007E5B37">
              <w:rPr>
                <w:sz w:val="18"/>
                <w:szCs w:val="18"/>
              </w:rPr>
              <w:t>0.5-mL PFS††</w:t>
            </w:r>
          </w:p>
        </w:tc>
        <w:tc>
          <w:tcPr>
            <w:tcW w:w="0" w:type="auto"/>
            <w:tcBorders>
              <w:top w:val="single" w:sz="6" w:space="0" w:color="DEE2E6"/>
              <w:left w:val="single" w:sz="6" w:space="0" w:color="DEE2E6"/>
              <w:bottom w:val="single" w:sz="6" w:space="0" w:color="DEE2E6"/>
              <w:right w:val="single" w:sz="6" w:space="0" w:color="DEE2E6"/>
            </w:tcBorders>
            <w:hideMark/>
          </w:tcPr>
          <w:p w14:paraId="0E11E206" w14:textId="77777777" w:rsidR="007E5B37" w:rsidRPr="007E5B37" w:rsidRDefault="007E5B37" w:rsidP="007E5B37">
            <w:pPr>
              <w:shd w:val="clear" w:color="auto" w:fill="FFFFFF"/>
              <w:rPr>
                <w:sz w:val="18"/>
                <w:szCs w:val="18"/>
              </w:rPr>
            </w:pPr>
            <w:r w:rsidRPr="007E5B37">
              <w:rPr>
                <w:sz w:val="18"/>
                <w:szCs w:val="18"/>
              </w:rPr>
              <w:t>≥6 mos††</w:t>
            </w:r>
          </w:p>
        </w:tc>
        <w:tc>
          <w:tcPr>
            <w:tcW w:w="0" w:type="auto"/>
            <w:tcBorders>
              <w:top w:val="single" w:sz="6" w:space="0" w:color="DEE2E6"/>
              <w:left w:val="single" w:sz="6" w:space="0" w:color="DEE2E6"/>
              <w:bottom w:val="single" w:sz="6" w:space="0" w:color="DEE2E6"/>
              <w:right w:val="single" w:sz="6" w:space="0" w:color="DEE2E6"/>
            </w:tcBorders>
            <w:hideMark/>
          </w:tcPr>
          <w:p w14:paraId="5F18C0C4"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53A80F12"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715706A5"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5B3C0AF9" w14:textId="77777777" w:rsidTr="007E5B37">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44BACC81" w14:textId="77777777" w:rsidR="007E5B37" w:rsidRPr="007E5B37" w:rsidRDefault="007E5B37" w:rsidP="007E5B37">
            <w:pPr>
              <w:shd w:val="clear" w:color="auto" w:fill="FFFFFF"/>
              <w:rPr>
                <w:sz w:val="18"/>
                <w:szCs w:val="18"/>
              </w:rPr>
            </w:pPr>
          </w:p>
        </w:tc>
        <w:tc>
          <w:tcPr>
            <w:tcW w:w="0" w:type="auto"/>
            <w:tcBorders>
              <w:top w:val="single" w:sz="6" w:space="0" w:color="DEE2E6"/>
              <w:left w:val="single" w:sz="6" w:space="0" w:color="DEE2E6"/>
              <w:bottom w:val="single" w:sz="6" w:space="0" w:color="DEE2E6"/>
              <w:right w:val="single" w:sz="6" w:space="0" w:color="DEE2E6"/>
            </w:tcBorders>
            <w:hideMark/>
          </w:tcPr>
          <w:p w14:paraId="4D444408" w14:textId="77777777" w:rsidR="007E5B37" w:rsidRPr="007E5B37" w:rsidRDefault="007E5B37" w:rsidP="007E5B37">
            <w:pPr>
              <w:shd w:val="clear" w:color="auto" w:fill="FFFFFF"/>
              <w:rPr>
                <w:sz w:val="18"/>
                <w:szCs w:val="18"/>
              </w:rPr>
            </w:pPr>
            <w:r w:rsidRPr="007E5B37">
              <w:rPr>
                <w:sz w:val="18"/>
                <w:szCs w:val="18"/>
              </w:rPr>
              <w:t>0.5-mL SDV††</w:t>
            </w:r>
          </w:p>
        </w:tc>
        <w:tc>
          <w:tcPr>
            <w:tcW w:w="0" w:type="auto"/>
            <w:tcBorders>
              <w:top w:val="single" w:sz="6" w:space="0" w:color="DEE2E6"/>
              <w:left w:val="single" w:sz="6" w:space="0" w:color="DEE2E6"/>
              <w:bottom w:val="single" w:sz="6" w:space="0" w:color="DEE2E6"/>
              <w:right w:val="single" w:sz="6" w:space="0" w:color="DEE2E6"/>
            </w:tcBorders>
            <w:hideMark/>
          </w:tcPr>
          <w:p w14:paraId="4EF2D892" w14:textId="77777777" w:rsidR="007E5B37" w:rsidRPr="007E5B37" w:rsidRDefault="007E5B37" w:rsidP="007E5B37">
            <w:pPr>
              <w:shd w:val="clear" w:color="auto" w:fill="FFFFFF"/>
              <w:rPr>
                <w:sz w:val="18"/>
                <w:szCs w:val="18"/>
              </w:rPr>
            </w:pPr>
            <w:r w:rsidRPr="007E5B37">
              <w:rPr>
                <w:sz w:val="18"/>
                <w:szCs w:val="18"/>
              </w:rPr>
              <w:t>≥6 mos††</w:t>
            </w:r>
          </w:p>
        </w:tc>
        <w:tc>
          <w:tcPr>
            <w:tcW w:w="0" w:type="auto"/>
            <w:tcBorders>
              <w:top w:val="single" w:sz="6" w:space="0" w:color="DEE2E6"/>
              <w:left w:val="single" w:sz="6" w:space="0" w:color="DEE2E6"/>
              <w:bottom w:val="single" w:sz="6" w:space="0" w:color="DEE2E6"/>
              <w:right w:val="single" w:sz="6" w:space="0" w:color="DEE2E6"/>
            </w:tcBorders>
            <w:hideMark/>
          </w:tcPr>
          <w:p w14:paraId="556B47EF"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0FB36F13"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71B8D7CF"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35F02F01" w14:textId="77777777" w:rsidTr="007E5B37">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297DC627" w14:textId="77777777" w:rsidR="007E5B37" w:rsidRPr="007E5B37" w:rsidRDefault="007E5B37" w:rsidP="007E5B37">
            <w:pPr>
              <w:shd w:val="clear" w:color="auto" w:fill="FFFFFF"/>
              <w:rPr>
                <w:sz w:val="18"/>
                <w:szCs w:val="18"/>
              </w:rPr>
            </w:pPr>
          </w:p>
        </w:tc>
        <w:tc>
          <w:tcPr>
            <w:tcW w:w="0" w:type="auto"/>
            <w:tcBorders>
              <w:top w:val="single" w:sz="6" w:space="0" w:color="DEE2E6"/>
              <w:left w:val="single" w:sz="6" w:space="0" w:color="DEE2E6"/>
              <w:bottom w:val="single" w:sz="6" w:space="0" w:color="DEE2E6"/>
              <w:right w:val="single" w:sz="6" w:space="0" w:color="DEE2E6"/>
            </w:tcBorders>
            <w:hideMark/>
          </w:tcPr>
          <w:p w14:paraId="59279BE2" w14:textId="77777777" w:rsidR="007E5B37" w:rsidRPr="007E5B37" w:rsidRDefault="007E5B37" w:rsidP="007E5B37">
            <w:pPr>
              <w:shd w:val="clear" w:color="auto" w:fill="FFFFFF"/>
              <w:rPr>
                <w:sz w:val="18"/>
                <w:szCs w:val="18"/>
              </w:rPr>
            </w:pPr>
            <w:r w:rsidRPr="007E5B37">
              <w:rPr>
                <w:sz w:val="18"/>
                <w:szCs w:val="18"/>
              </w:rPr>
              <w:t>5.0-mL MDV††</w:t>
            </w:r>
          </w:p>
        </w:tc>
        <w:tc>
          <w:tcPr>
            <w:tcW w:w="0" w:type="auto"/>
            <w:tcBorders>
              <w:top w:val="single" w:sz="6" w:space="0" w:color="DEE2E6"/>
              <w:left w:val="single" w:sz="6" w:space="0" w:color="DEE2E6"/>
              <w:bottom w:val="single" w:sz="6" w:space="0" w:color="DEE2E6"/>
              <w:right w:val="single" w:sz="6" w:space="0" w:color="DEE2E6"/>
            </w:tcBorders>
            <w:hideMark/>
          </w:tcPr>
          <w:p w14:paraId="5F942582" w14:textId="77777777" w:rsidR="007E5B37" w:rsidRPr="007E5B37" w:rsidRDefault="007E5B37" w:rsidP="007E5B37">
            <w:pPr>
              <w:shd w:val="clear" w:color="auto" w:fill="FFFFFF"/>
              <w:rPr>
                <w:sz w:val="18"/>
                <w:szCs w:val="18"/>
              </w:rPr>
            </w:pPr>
            <w:r w:rsidRPr="007E5B37">
              <w:rPr>
                <w:sz w:val="18"/>
                <w:szCs w:val="18"/>
              </w:rPr>
              <w:t>≥6 mos††</w:t>
            </w:r>
          </w:p>
        </w:tc>
        <w:tc>
          <w:tcPr>
            <w:tcW w:w="0" w:type="auto"/>
            <w:tcBorders>
              <w:top w:val="single" w:sz="6" w:space="0" w:color="DEE2E6"/>
              <w:left w:val="single" w:sz="6" w:space="0" w:color="DEE2E6"/>
              <w:bottom w:val="single" w:sz="6" w:space="0" w:color="DEE2E6"/>
              <w:right w:val="single" w:sz="6" w:space="0" w:color="DEE2E6"/>
            </w:tcBorders>
            <w:hideMark/>
          </w:tcPr>
          <w:p w14:paraId="516FE875"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r w:rsidRPr="007E5B37">
              <w:rPr>
                <w:sz w:val="18"/>
                <w:szCs w:val="18"/>
              </w:rPr>
              <w:br/>
              <w:t>7.5 </w:t>
            </w:r>
            <w:r w:rsidRPr="007E5B37">
              <w:rPr>
                <w:i/>
                <w:iCs/>
                <w:sz w:val="18"/>
                <w:szCs w:val="18"/>
              </w:rPr>
              <w:t>µ</w:t>
            </w:r>
            <w:r w:rsidRPr="007E5B37">
              <w:rPr>
                <w:sz w:val="18"/>
                <w:szCs w:val="18"/>
              </w:rPr>
              <w:t>g/0.25 mL</w:t>
            </w:r>
          </w:p>
        </w:tc>
        <w:tc>
          <w:tcPr>
            <w:tcW w:w="0" w:type="auto"/>
            <w:tcBorders>
              <w:top w:val="single" w:sz="6" w:space="0" w:color="DEE2E6"/>
              <w:left w:val="single" w:sz="6" w:space="0" w:color="DEE2E6"/>
              <w:bottom w:val="single" w:sz="6" w:space="0" w:color="DEE2E6"/>
              <w:right w:val="single" w:sz="6" w:space="0" w:color="DEE2E6"/>
            </w:tcBorders>
            <w:hideMark/>
          </w:tcPr>
          <w:p w14:paraId="4D35B07D"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1FC0790A" w14:textId="77777777" w:rsidR="007E5B37" w:rsidRPr="007E5B37" w:rsidRDefault="007E5B37" w:rsidP="007E5B37">
            <w:pPr>
              <w:shd w:val="clear" w:color="auto" w:fill="FFFFFF"/>
              <w:rPr>
                <w:sz w:val="18"/>
                <w:szCs w:val="18"/>
              </w:rPr>
            </w:pPr>
            <w:r w:rsidRPr="007E5B37">
              <w:rPr>
                <w:sz w:val="18"/>
                <w:szCs w:val="18"/>
              </w:rPr>
              <w:t>25</w:t>
            </w:r>
          </w:p>
        </w:tc>
      </w:tr>
      <w:tr w:rsidR="007E5B37" w:rsidRPr="007E5B37" w14:paraId="1732C4CD" w14:textId="77777777" w:rsidTr="007E5B37">
        <w:tc>
          <w:tcPr>
            <w:tcW w:w="0" w:type="auto"/>
            <w:gridSpan w:val="6"/>
            <w:tcBorders>
              <w:top w:val="single" w:sz="6" w:space="0" w:color="DEE2E6"/>
              <w:left w:val="single" w:sz="6" w:space="0" w:color="DEE2E6"/>
              <w:bottom w:val="single" w:sz="6" w:space="0" w:color="DEE2E6"/>
              <w:right w:val="single" w:sz="6" w:space="0" w:color="DEE2E6"/>
            </w:tcBorders>
            <w:hideMark/>
          </w:tcPr>
          <w:p w14:paraId="5A47FFF2" w14:textId="77777777" w:rsidR="007E5B37" w:rsidRPr="007E5B37" w:rsidRDefault="007E5B37" w:rsidP="007E5B37">
            <w:pPr>
              <w:shd w:val="clear" w:color="auto" w:fill="FFFFFF"/>
              <w:rPr>
                <w:sz w:val="18"/>
                <w:szCs w:val="18"/>
              </w:rPr>
            </w:pPr>
            <w:r w:rsidRPr="007E5B37">
              <w:rPr>
                <w:b/>
                <w:bCs/>
                <w:sz w:val="18"/>
                <w:szCs w:val="18"/>
              </w:rPr>
              <w:t>ccIIV4 (standard-dose, cell culture–based vaccine)</w:t>
            </w:r>
          </w:p>
        </w:tc>
      </w:tr>
      <w:tr w:rsidR="007E5B37" w:rsidRPr="007E5B37" w14:paraId="09640617" w14:textId="77777777" w:rsidTr="007E5B37">
        <w:tc>
          <w:tcPr>
            <w:tcW w:w="0" w:type="auto"/>
            <w:vMerge w:val="restart"/>
            <w:tcBorders>
              <w:top w:val="single" w:sz="6" w:space="0" w:color="DEE2E6"/>
              <w:left w:val="single" w:sz="6" w:space="0" w:color="DEE2E6"/>
              <w:bottom w:val="single" w:sz="6" w:space="0" w:color="DEE2E6"/>
              <w:right w:val="single" w:sz="6" w:space="0" w:color="DEE2E6"/>
            </w:tcBorders>
            <w:hideMark/>
          </w:tcPr>
          <w:p w14:paraId="11B4B6CE" w14:textId="77777777" w:rsidR="007E5B37" w:rsidRPr="007E5B37" w:rsidRDefault="007E5B37" w:rsidP="007E5B37">
            <w:pPr>
              <w:shd w:val="clear" w:color="auto" w:fill="FFFFFF"/>
              <w:rPr>
                <w:sz w:val="18"/>
                <w:szCs w:val="18"/>
              </w:rPr>
            </w:pPr>
            <w:r w:rsidRPr="007E5B37">
              <w:rPr>
                <w:sz w:val="18"/>
                <w:szCs w:val="18"/>
              </w:rPr>
              <w:t>Flucelvax Quadrivalent</w:t>
            </w:r>
            <w:r w:rsidRPr="007E5B37">
              <w:rPr>
                <w:sz w:val="18"/>
                <w:szCs w:val="18"/>
              </w:rPr>
              <w:br/>
              <w:t>(Seqirus)</w:t>
            </w:r>
          </w:p>
        </w:tc>
        <w:tc>
          <w:tcPr>
            <w:tcW w:w="0" w:type="auto"/>
            <w:tcBorders>
              <w:top w:val="single" w:sz="6" w:space="0" w:color="DEE2E6"/>
              <w:left w:val="single" w:sz="6" w:space="0" w:color="DEE2E6"/>
              <w:bottom w:val="single" w:sz="6" w:space="0" w:color="DEE2E6"/>
              <w:right w:val="single" w:sz="6" w:space="0" w:color="DEE2E6"/>
            </w:tcBorders>
            <w:hideMark/>
          </w:tcPr>
          <w:p w14:paraId="5CD5B781" w14:textId="77777777" w:rsidR="007E5B37" w:rsidRPr="007E5B37" w:rsidRDefault="007E5B37" w:rsidP="007E5B37">
            <w:pPr>
              <w:shd w:val="clear" w:color="auto" w:fill="FFFFFF"/>
              <w:rPr>
                <w:sz w:val="18"/>
                <w:szCs w:val="18"/>
              </w:rPr>
            </w:pPr>
            <w:r w:rsidRPr="007E5B37">
              <w:rPr>
                <w:sz w:val="18"/>
                <w:szCs w:val="18"/>
              </w:rPr>
              <w:t>0.5-mL PFS</w:t>
            </w:r>
          </w:p>
        </w:tc>
        <w:tc>
          <w:tcPr>
            <w:tcW w:w="0" w:type="auto"/>
            <w:tcBorders>
              <w:top w:val="single" w:sz="6" w:space="0" w:color="DEE2E6"/>
              <w:left w:val="single" w:sz="6" w:space="0" w:color="DEE2E6"/>
              <w:bottom w:val="single" w:sz="6" w:space="0" w:color="DEE2E6"/>
              <w:right w:val="single" w:sz="6" w:space="0" w:color="DEE2E6"/>
            </w:tcBorders>
            <w:hideMark/>
          </w:tcPr>
          <w:p w14:paraId="0DEDB253" w14:textId="77777777" w:rsidR="007E5B37" w:rsidRPr="007E5B37" w:rsidRDefault="007E5B37" w:rsidP="007E5B37">
            <w:pPr>
              <w:shd w:val="clear" w:color="auto" w:fill="FFFFFF"/>
              <w:rPr>
                <w:sz w:val="18"/>
                <w:szCs w:val="18"/>
              </w:rPr>
            </w:pPr>
            <w:r w:rsidRPr="007E5B37">
              <w:rPr>
                <w:sz w:val="18"/>
                <w:szCs w:val="18"/>
              </w:rPr>
              <w:t>≥6 mos</w:t>
            </w:r>
          </w:p>
        </w:tc>
        <w:tc>
          <w:tcPr>
            <w:tcW w:w="0" w:type="auto"/>
            <w:tcBorders>
              <w:top w:val="single" w:sz="6" w:space="0" w:color="DEE2E6"/>
              <w:left w:val="single" w:sz="6" w:space="0" w:color="DEE2E6"/>
              <w:bottom w:val="single" w:sz="6" w:space="0" w:color="DEE2E6"/>
              <w:right w:val="single" w:sz="6" w:space="0" w:color="DEE2E6"/>
            </w:tcBorders>
            <w:hideMark/>
          </w:tcPr>
          <w:p w14:paraId="72DEC130"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66A640A0"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130A3370"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3A849DB9" w14:textId="77777777" w:rsidTr="007E5B37">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5D4A4EE2" w14:textId="77777777" w:rsidR="007E5B37" w:rsidRPr="007E5B37" w:rsidRDefault="007E5B37" w:rsidP="007E5B37">
            <w:pPr>
              <w:shd w:val="clear" w:color="auto" w:fill="FFFFFF"/>
              <w:rPr>
                <w:sz w:val="18"/>
                <w:szCs w:val="18"/>
              </w:rPr>
            </w:pPr>
          </w:p>
        </w:tc>
        <w:tc>
          <w:tcPr>
            <w:tcW w:w="0" w:type="auto"/>
            <w:tcBorders>
              <w:top w:val="single" w:sz="6" w:space="0" w:color="DEE2E6"/>
              <w:left w:val="single" w:sz="6" w:space="0" w:color="DEE2E6"/>
              <w:bottom w:val="single" w:sz="6" w:space="0" w:color="DEE2E6"/>
              <w:right w:val="single" w:sz="6" w:space="0" w:color="DEE2E6"/>
            </w:tcBorders>
            <w:hideMark/>
          </w:tcPr>
          <w:p w14:paraId="06C12C97" w14:textId="77777777" w:rsidR="007E5B37" w:rsidRPr="007E5B37" w:rsidRDefault="007E5B37" w:rsidP="007E5B37">
            <w:pPr>
              <w:shd w:val="clear" w:color="auto" w:fill="FFFFFF"/>
              <w:rPr>
                <w:sz w:val="18"/>
                <w:szCs w:val="18"/>
              </w:rPr>
            </w:pPr>
            <w:r w:rsidRPr="007E5B37">
              <w:rPr>
                <w:sz w:val="18"/>
                <w:szCs w:val="18"/>
              </w:rPr>
              <w:t>5.0-mL MDV</w:t>
            </w:r>
          </w:p>
        </w:tc>
        <w:tc>
          <w:tcPr>
            <w:tcW w:w="0" w:type="auto"/>
            <w:tcBorders>
              <w:top w:val="single" w:sz="6" w:space="0" w:color="DEE2E6"/>
              <w:left w:val="single" w:sz="6" w:space="0" w:color="DEE2E6"/>
              <w:bottom w:val="single" w:sz="6" w:space="0" w:color="DEE2E6"/>
              <w:right w:val="single" w:sz="6" w:space="0" w:color="DEE2E6"/>
            </w:tcBorders>
            <w:hideMark/>
          </w:tcPr>
          <w:p w14:paraId="3BD85354" w14:textId="77777777" w:rsidR="007E5B37" w:rsidRPr="007E5B37" w:rsidRDefault="007E5B37" w:rsidP="007E5B37">
            <w:pPr>
              <w:shd w:val="clear" w:color="auto" w:fill="FFFFFF"/>
              <w:rPr>
                <w:sz w:val="18"/>
                <w:szCs w:val="18"/>
              </w:rPr>
            </w:pPr>
            <w:r w:rsidRPr="007E5B37">
              <w:rPr>
                <w:sz w:val="18"/>
                <w:szCs w:val="18"/>
              </w:rPr>
              <w:t>≥6 mos</w:t>
            </w:r>
          </w:p>
        </w:tc>
        <w:tc>
          <w:tcPr>
            <w:tcW w:w="0" w:type="auto"/>
            <w:tcBorders>
              <w:top w:val="single" w:sz="6" w:space="0" w:color="DEE2E6"/>
              <w:left w:val="single" w:sz="6" w:space="0" w:color="DEE2E6"/>
              <w:bottom w:val="single" w:sz="6" w:space="0" w:color="DEE2E6"/>
              <w:right w:val="single" w:sz="6" w:space="0" w:color="DEE2E6"/>
            </w:tcBorders>
            <w:hideMark/>
          </w:tcPr>
          <w:p w14:paraId="75019960"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5965EC3D"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3624BD72" w14:textId="77777777" w:rsidR="007E5B37" w:rsidRPr="007E5B37" w:rsidRDefault="007E5B37" w:rsidP="007E5B37">
            <w:pPr>
              <w:shd w:val="clear" w:color="auto" w:fill="FFFFFF"/>
              <w:rPr>
                <w:sz w:val="18"/>
                <w:szCs w:val="18"/>
              </w:rPr>
            </w:pPr>
            <w:r w:rsidRPr="007E5B37">
              <w:rPr>
                <w:sz w:val="18"/>
                <w:szCs w:val="18"/>
              </w:rPr>
              <w:t>25</w:t>
            </w:r>
          </w:p>
        </w:tc>
      </w:tr>
      <w:tr w:rsidR="007E5B37" w:rsidRPr="007E5B37" w14:paraId="7BEB46ED" w14:textId="77777777" w:rsidTr="007E5B37">
        <w:tc>
          <w:tcPr>
            <w:tcW w:w="0" w:type="auto"/>
            <w:gridSpan w:val="6"/>
            <w:tcBorders>
              <w:top w:val="single" w:sz="6" w:space="0" w:color="DEE2E6"/>
              <w:left w:val="single" w:sz="6" w:space="0" w:color="DEE2E6"/>
              <w:bottom w:val="single" w:sz="6" w:space="0" w:color="DEE2E6"/>
              <w:right w:val="single" w:sz="6" w:space="0" w:color="DEE2E6"/>
            </w:tcBorders>
            <w:hideMark/>
          </w:tcPr>
          <w:p w14:paraId="0CA39DD9" w14:textId="77777777" w:rsidR="007E5B37" w:rsidRPr="007E5B37" w:rsidRDefault="007E5B37" w:rsidP="007E5B37">
            <w:pPr>
              <w:shd w:val="clear" w:color="auto" w:fill="FFFFFF"/>
              <w:rPr>
                <w:sz w:val="18"/>
                <w:szCs w:val="18"/>
              </w:rPr>
            </w:pPr>
            <w:r w:rsidRPr="007E5B37">
              <w:rPr>
                <w:b/>
                <w:bCs/>
                <w:sz w:val="18"/>
                <w:szCs w:val="18"/>
              </w:rPr>
              <w:t>HD-IIV4 (high-dose, egg-based vaccine</w:t>
            </w:r>
            <w:r w:rsidRPr="007E5B37">
              <w:rPr>
                <w:b/>
                <w:bCs/>
                <w:sz w:val="18"/>
                <w:szCs w:val="18"/>
                <w:vertAlign w:val="superscript"/>
              </w:rPr>
              <w:t>†</w:t>
            </w:r>
            <w:r w:rsidRPr="007E5B37">
              <w:rPr>
                <w:b/>
                <w:bCs/>
                <w:sz w:val="18"/>
                <w:szCs w:val="18"/>
              </w:rPr>
              <w:t>)</w:t>
            </w:r>
          </w:p>
        </w:tc>
      </w:tr>
      <w:tr w:rsidR="007E5B37" w:rsidRPr="007E5B37" w14:paraId="31E1D607" w14:textId="77777777" w:rsidTr="007E5B37">
        <w:tc>
          <w:tcPr>
            <w:tcW w:w="0" w:type="auto"/>
            <w:tcBorders>
              <w:top w:val="single" w:sz="6" w:space="0" w:color="DEE2E6"/>
              <w:left w:val="single" w:sz="6" w:space="0" w:color="DEE2E6"/>
              <w:bottom w:val="single" w:sz="6" w:space="0" w:color="DEE2E6"/>
              <w:right w:val="single" w:sz="6" w:space="0" w:color="DEE2E6"/>
            </w:tcBorders>
            <w:hideMark/>
          </w:tcPr>
          <w:p w14:paraId="0C0CDBAD" w14:textId="77777777" w:rsidR="007E5B37" w:rsidRPr="007E5B37" w:rsidRDefault="007E5B37" w:rsidP="007E5B37">
            <w:pPr>
              <w:shd w:val="clear" w:color="auto" w:fill="FFFFFF"/>
              <w:rPr>
                <w:sz w:val="18"/>
                <w:szCs w:val="18"/>
              </w:rPr>
            </w:pPr>
            <w:r w:rsidRPr="007E5B37">
              <w:rPr>
                <w:sz w:val="18"/>
                <w:szCs w:val="18"/>
              </w:rPr>
              <w:t>Fluzone High-Dose Quadrivalent</w:t>
            </w:r>
            <w:r w:rsidRPr="007E5B37">
              <w:rPr>
                <w:sz w:val="18"/>
                <w:szCs w:val="18"/>
              </w:rPr>
              <w:br/>
              <w:t>(Sanofi Pasteur)</w:t>
            </w:r>
          </w:p>
        </w:tc>
        <w:tc>
          <w:tcPr>
            <w:tcW w:w="0" w:type="auto"/>
            <w:tcBorders>
              <w:top w:val="single" w:sz="6" w:space="0" w:color="DEE2E6"/>
              <w:left w:val="single" w:sz="6" w:space="0" w:color="DEE2E6"/>
              <w:bottom w:val="single" w:sz="6" w:space="0" w:color="DEE2E6"/>
              <w:right w:val="single" w:sz="6" w:space="0" w:color="DEE2E6"/>
            </w:tcBorders>
            <w:hideMark/>
          </w:tcPr>
          <w:p w14:paraId="64542CC6" w14:textId="77777777" w:rsidR="007E5B37" w:rsidRPr="007E5B37" w:rsidRDefault="007E5B37" w:rsidP="007E5B37">
            <w:pPr>
              <w:shd w:val="clear" w:color="auto" w:fill="FFFFFF"/>
              <w:rPr>
                <w:sz w:val="18"/>
                <w:szCs w:val="18"/>
              </w:rPr>
            </w:pPr>
            <w:r w:rsidRPr="007E5B37">
              <w:rPr>
                <w:sz w:val="18"/>
                <w:szCs w:val="18"/>
              </w:rPr>
              <w:t>0.7-mL PFS</w:t>
            </w:r>
          </w:p>
        </w:tc>
        <w:tc>
          <w:tcPr>
            <w:tcW w:w="0" w:type="auto"/>
            <w:tcBorders>
              <w:top w:val="single" w:sz="6" w:space="0" w:color="DEE2E6"/>
              <w:left w:val="single" w:sz="6" w:space="0" w:color="DEE2E6"/>
              <w:bottom w:val="single" w:sz="6" w:space="0" w:color="DEE2E6"/>
              <w:right w:val="single" w:sz="6" w:space="0" w:color="DEE2E6"/>
            </w:tcBorders>
            <w:hideMark/>
          </w:tcPr>
          <w:p w14:paraId="0C46993A" w14:textId="77777777" w:rsidR="007E5B37" w:rsidRPr="007E5B37" w:rsidRDefault="007E5B37" w:rsidP="007E5B37">
            <w:pPr>
              <w:shd w:val="clear" w:color="auto" w:fill="FFFFFF"/>
              <w:rPr>
                <w:sz w:val="18"/>
                <w:szCs w:val="18"/>
              </w:rPr>
            </w:pPr>
            <w:r w:rsidRPr="007E5B37">
              <w:rPr>
                <w:sz w:val="18"/>
                <w:szCs w:val="18"/>
              </w:rPr>
              <w:t>≥65 yrs</w:t>
            </w:r>
          </w:p>
        </w:tc>
        <w:tc>
          <w:tcPr>
            <w:tcW w:w="0" w:type="auto"/>
            <w:tcBorders>
              <w:top w:val="single" w:sz="6" w:space="0" w:color="DEE2E6"/>
              <w:left w:val="single" w:sz="6" w:space="0" w:color="DEE2E6"/>
              <w:bottom w:val="single" w:sz="6" w:space="0" w:color="DEE2E6"/>
              <w:right w:val="single" w:sz="6" w:space="0" w:color="DEE2E6"/>
            </w:tcBorders>
            <w:hideMark/>
          </w:tcPr>
          <w:p w14:paraId="0B70EBC3" w14:textId="77777777" w:rsidR="007E5B37" w:rsidRPr="007E5B37" w:rsidRDefault="007E5B37" w:rsidP="007E5B37">
            <w:pPr>
              <w:shd w:val="clear" w:color="auto" w:fill="FFFFFF"/>
              <w:rPr>
                <w:sz w:val="18"/>
                <w:szCs w:val="18"/>
              </w:rPr>
            </w:pPr>
            <w:r w:rsidRPr="007E5B37">
              <w:rPr>
                <w:sz w:val="18"/>
                <w:szCs w:val="18"/>
              </w:rPr>
              <w:t>60 </w:t>
            </w:r>
            <w:r w:rsidRPr="007E5B37">
              <w:rPr>
                <w:i/>
                <w:iCs/>
                <w:sz w:val="18"/>
                <w:szCs w:val="18"/>
              </w:rPr>
              <w:t>µ</w:t>
            </w:r>
            <w:r w:rsidRPr="007E5B37">
              <w:rPr>
                <w:sz w:val="18"/>
                <w:szCs w:val="18"/>
              </w:rPr>
              <w:t>g/0.7 mL</w:t>
            </w:r>
          </w:p>
        </w:tc>
        <w:tc>
          <w:tcPr>
            <w:tcW w:w="0" w:type="auto"/>
            <w:tcBorders>
              <w:top w:val="single" w:sz="6" w:space="0" w:color="DEE2E6"/>
              <w:left w:val="single" w:sz="6" w:space="0" w:color="DEE2E6"/>
              <w:bottom w:val="single" w:sz="6" w:space="0" w:color="DEE2E6"/>
              <w:right w:val="single" w:sz="6" w:space="0" w:color="DEE2E6"/>
            </w:tcBorders>
            <w:hideMark/>
          </w:tcPr>
          <w:p w14:paraId="06115955"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629CBBE9"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0BDDB4D5" w14:textId="77777777" w:rsidTr="007E5B37">
        <w:tc>
          <w:tcPr>
            <w:tcW w:w="0" w:type="auto"/>
            <w:gridSpan w:val="6"/>
            <w:tcBorders>
              <w:top w:val="single" w:sz="6" w:space="0" w:color="DEE2E6"/>
              <w:left w:val="single" w:sz="6" w:space="0" w:color="DEE2E6"/>
              <w:bottom w:val="single" w:sz="6" w:space="0" w:color="DEE2E6"/>
              <w:right w:val="single" w:sz="6" w:space="0" w:color="DEE2E6"/>
            </w:tcBorders>
            <w:hideMark/>
          </w:tcPr>
          <w:p w14:paraId="3FDC921A" w14:textId="77777777" w:rsidR="007E5B37" w:rsidRPr="007E5B37" w:rsidRDefault="007E5B37" w:rsidP="007E5B37">
            <w:pPr>
              <w:shd w:val="clear" w:color="auto" w:fill="FFFFFF"/>
              <w:rPr>
                <w:sz w:val="18"/>
                <w:szCs w:val="18"/>
              </w:rPr>
            </w:pPr>
            <w:r w:rsidRPr="007E5B37">
              <w:rPr>
                <w:b/>
                <w:bCs/>
                <w:sz w:val="18"/>
                <w:szCs w:val="18"/>
              </w:rPr>
              <w:t>aIIV4 (standard-dose, egg-based</w:t>
            </w:r>
            <w:r w:rsidRPr="007E5B37">
              <w:rPr>
                <w:b/>
                <w:bCs/>
                <w:sz w:val="18"/>
                <w:szCs w:val="18"/>
                <w:vertAlign w:val="superscript"/>
              </w:rPr>
              <w:t>†</w:t>
            </w:r>
            <w:r w:rsidRPr="007E5B37">
              <w:rPr>
                <w:b/>
                <w:bCs/>
                <w:sz w:val="18"/>
                <w:szCs w:val="18"/>
              </w:rPr>
              <w:t> vaccine with MF59 adjuvant)</w:t>
            </w:r>
          </w:p>
        </w:tc>
      </w:tr>
      <w:tr w:rsidR="007E5B37" w:rsidRPr="007E5B37" w14:paraId="0E07CF64" w14:textId="77777777" w:rsidTr="007E5B37">
        <w:tc>
          <w:tcPr>
            <w:tcW w:w="0" w:type="auto"/>
            <w:tcBorders>
              <w:top w:val="single" w:sz="6" w:space="0" w:color="DEE2E6"/>
              <w:left w:val="single" w:sz="6" w:space="0" w:color="DEE2E6"/>
              <w:bottom w:val="single" w:sz="6" w:space="0" w:color="DEE2E6"/>
              <w:right w:val="single" w:sz="6" w:space="0" w:color="DEE2E6"/>
            </w:tcBorders>
            <w:hideMark/>
          </w:tcPr>
          <w:p w14:paraId="536F0A7F" w14:textId="77777777" w:rsidR="007E5B37" w:rsidRPr="007E5B37" w:rsidRDefault="007E5B37" w:rsidP="007E5B37">
            <w:pPr>
              <w:shd w:val="clear" w:color="auto" w:fill="FFFFFF"/>
              <w:rPr>
                <w:sz w:val="18"/>
                <w:szCs w:val="18"/>
              </w:rPr>
            </w:pPr>
            <w:r w:rsidRPr="007E5B37">
              <w:rPr>
                <w:sz w:val="18"/>
                <w:szCs w:val="18"/>
              </w:rPr>
              <w:t>Fluad Quadrivalent</w:t>
            </w:r>
            <w:r w:rsidRPr="007E5B37">
              <w:rPr>
                <w:sz w:val="18"/>
                <w:szCs w:val="18"/>
              </w:rPr>
              <w:br/>
              <w:t>(Seqirus)</w:t>
            </w:r>
          </w:p>
        </w:tc>
        <w:tc>
          <w:tcPr>
            <w:tcW w:w="0" w:type="auto"/>
            <w:tcBorders>
              <w:top w:val="single" w:sz="6" w:space="0" w:color="DEE2E6"/>
              <w:left w:val="single" w:sz="6" w:space="0" w:color="DEE2E6"/>
              <w:bottom w:val="single" w:sz="6" w:space="0" w:color="DEE2E6"/>
              <w:right w:val="single" w:sz="6" w:space="0" w:color="DEE2E6"/>
            </w:tcBorders>
            <w:hideMark/>
          </w:tcPr>
          <w:p w14:paraId="65F2900A" w14:textId="77777777" w:rsidR="007E5B37" w:rsidRPr="007E5B37" w:rsidRDefault="007E5B37" w:rsidP="007E5B37">
            <w:pPr>
              <w:shd w:val="clear" w:color="auto" w:fill="FFFFFF"/>
              <w:rPr>
                <w:sz w:val="18"/>
                <w:szCs w:val="18"/>
              </w:rPr>
            </w:pPr>
            <w:r w:rsidRPr="007E5B37">
              <w:rPr>
                <w:sz w:val="18"/>
                <w:szCs w:val="18"/>
              </w:rPr>
              <w:t>0.5-mL PFS</w:t>
            </w:r>
          </w:p>
        </w:tc>
        <w:tc>
          <w:tcPr>
            <w:tcW w:w="0" w:type="auto"/>
            <w:tcBorders>
              <w:top w:val="single" w:sz="6" w:space="0" w:color="DEE2E6"/>
              <w:left w:val="single" w:sz="6" w:space="0" w:color="DEE2E6"/>
              <w:bottom w:val="single" w:sz="6" w:space="0" w:color="DEE2E6"/>
              <w:right w:val="single" w:sz="6" w:space="0" w:color="DEE2E6"/>
            </w:tcBorders>
            <w:hideMark/>
          </w:tcPr>
          <w:p w14:paraId="258CAAAC" w14:textId="77777777" w:rsidR="007E5B37" w:rsidRPr="007E5B37" w:rsidRDefault="007E5B37" w:rsidP="007E5B37">
            <w:pPr>
              <w:shd w:val="clear" w:color="auto" w:fill="FFFFFF"/>
              <w:rPr>
                <w:sz w:val="18"/>
                <w:szCs w:val="18"/>
              </w:rPr>
            </w:pPr>
            <w:r w:rsidRPr="007E5B37">
              <w:rPr>
                <w:sz w:val="18"/>
                <w:szCs w:val="18"/>
              </w:rPr>
              <w:t>≥65 yrs</w:t>
            </w:r>
          </w:p>
        </w:tc>
        <w:tc>
          <w:tcPr>
            <w:tcW w:w="0" w:type="auto"/>
            <w:tcBorders>
              <w:top w:val="single" w:sz="6" w:space="0" w:color="DEE2E6"/>
              <w:left w:val="single" w:sz="6" w:space="0" w:color="DEE2E6"/>
              <w:bottom w:val="single" w:sz="6" w:space="0" w:color="DEE2E6"/>
              <w:right w:val="single" w:sz="6" w:space="0" w:color="DEE2E6"/>
            </w:tcBorders>
            <w:hideMark/>
          </w:tcPr>
          <w:p w14:paraId="207C5690" w14:textId="77777777" w:rsidR="007E5B37" w:rsidRPr="007E5B37" w:rsidRDefault="007E5B37" w:rsidP="007E5B37">
            <w:pPr>
              <w:shd w:val="clear" w:color="auto" w:fill="FFFFFF"/>
              <w:rPr>
                <w:sz w:val="18"/>
                <w:szCs w:val="18"/>
              </w:rPr>
            </w:pPr>
            <w:r w:rsidRPr="007E5B37">
              <w:rPr>
                <w:sz w:val="18"/>
                <w:szCs w:val="18"/>
              </w:rPr>
              <w:t>15 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5D119020"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05D31636"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496AE788" w14:textId="77777777" w:rsidTr="007E5B37">
        <w:tc>
          <w:tcPr>
            <w:tcW w:w="0" w:type="auto"/>
            <w:gridSpan w:val="6"/>
            <w:tcBorders>
              <w:top w:val="single" w:sz="6" w:space="0" w:color="DEE2E6"/>
              <w:left w:val="single" w:sz="6" w:space="0" w:color="DEE2E6"/>
              <w:bottom w:val="single" w:sz="6" w:space="0" w:color="DEE2E6"/>
              <w:right w:val="single" w:sz="6" w:space="0" w:color="DEE2E6"/>
            </w:tcBorders>
            <w:hideMark/>
          </w:tcPr>
          <w:p w14:paraId="5CABE487" w14:textId="77777777" w:rsidR="007E5B37" w:rsidRPr="007E5B37" w:rsidRDefault="007E5B37" w:rsidP="007E5B37">
            <w:pPr>
              <w:shd w:val="clear" w:color="auto" w:fill="FFFFFF"/>
              <w:rPr>
                <w:sz w:val="18"/>
                <w:szCs w:val="18"/>
              </w:rPr>
            </w:pPr>
            <w:r w:rsidRPr="007E5B37">
              <w:rPr>
                <w:b/>
                <w:bCs/>
                <w:sz w:val="18"/>
                <w:szCs w:val="18"/>
              </w:rPr>
              <w:t>RIV4 (recombinant HA vaccine)</w:t>
            </w:r>
          </w:p>
        </w:tc>
      </w:tr>
      <w:tr w:rsidR="007E5B37" w:rsidRPr="007E5B37" w14:paraId="3978DD68" w14:textId="77777777" w:rsidTr="007E5B37">
        <w:tc>
          <w:tcPr>
            <w:tcW w:w="0" w:type="auto"/>
            <w:tcBorders>
              <w:top w:val="single" w:sz="6" w:space="0" w:color="DEE2E6"/>
              <w:left w:val="single" w:sz="6" w:space="0" w:color="DEE2E6"/>
              <w:bottom w:val="single" w:sz="6" w:space="0" w:color="DEE2E6"/>
              <w:right w:val="single" w:sz="6" w:space="0" w:color="DEE2E6"/>
            </w:tcBorders>
            <w:hideMark/>
          </w:tcPr>
          <w:p w14:paraId="25413A1A" w14:textId="77777777" w:rsidR="007E5B37" w:rsidRPr="007E5B37" w:rsidRDefault="007E5B37" w:rsidP="007E5B37">
            <w:pPr>
              <w:shd w:val="clear" w:color="auto" w:fill="FFFFFF"/>
              <w:rPr>
                <w:sz w:val="18"/>
                <w:szCs w:val="18"/>
              </w:rPr>
            </w:pPr>
            <w:r w:rsidRPr="007E5B37">
              <w:rPr>
                <w:sz w:val="18"/>
                <w:szCs w:val="18"/>
              </w:rPr>
              <w:t>Flublok Quadrivalent</w:t>
            </w:r>
            <w:r w:rsidRPr="007E5B37">
              <w:rPr>
                <w:sz w:val="18"/>
                <w:szCs w:val="18"/>
              </w:rPr>
              <w:br/>
              <w:t>(Sanofi Pasteur)</w:t>
            </w:r>
          </w:p>
        </w:tc>
        <w:tc>
          <w:tcPr>
            <w:tcW w:w="0" w:type="auto"/>
            <w:tcBorders>
              <w:top w:val="single" w:sz="6" w:space="0" w:color="DEE2E6"/>
              <w:left w:val="single" w:sz="6" w:space="0" w:color="DEE2E6"/>
              <w:bottom w:val="single" w:sz="6" w:space="0" w:color="DEE2E6"/>
              <w:right w:val="single" w:sz="6" w:space="0" w:color="DEE2E6"/>
            </w:tcBorders>
            <w:hideMark/>
          </w:tcPr>
          <w:p w14:paraId="525ECE49" w14:textId="77777777" w:rsidR="007E5B37" w:rsidRPr="007E5B37" w:rsidRDefault="007E5B37" w:rsidP="007E5B37">
            <w:pPr>
              <w:shd w:val="clear" w:color="auto" w:fill="FFFFFF"/>
              <w:rPr>
                <w:sz w:val="18"/>
                <w:szCs w:val="18"/>
              </w:rPr>
            </w:pPr>
            <w:r w:rsidRPr="007E5B37">
              <w:rPr>
                <w:sz w:val="18"/>
                <w:szCs w:val="18"/>
              </w:rPr>
              <w:t>0.5-mL PFS</w:t>
            </w:r>
          </w:p>
        </w:tc>
        <w:tc>
          <w:tcPr>
            <w:tcW w:w="0" w:type="auto"/>
            <w:tcBorders>
              <w:top w:val="single" w:sz="6" w:space="0" w:color="DEE2E6"/>
              <w:left w:val="single" w:sz="6" w:space="0" w:color="DEE2E6"/>
              <w:bottom w:val="single" w:sz="6" w:space="0" w:color="DEE2E6"/>
              <w:right w:val="single" w:sz="6" w:space="0" w:color="DEE2E6"/>
            </w:tcBorders>
            <w:hideMark/>
          </w:tcPr>
          <w:p w14:paraId="1A1CB45E" w14:textId="77777777" w:rsidR="007E5B37" w:rsidRPr="007E5B37" w:rsidRDefault="007E5B37" w:rsidP="007E5B37">
            <w:pPr>
              <w:shd w:val="clear" w:color="auto" w:fill="FFFFFF"/>
              <w:rPr>
                <w:sz w:val="18"/>
                <w:szCs w:val="18"/>
              </w:rPr>
            </w:pPr>
            <w:r w:rsidRPr="007E5B37">
              <w:rPr>
                <w:sz w:val="18"/>
                <w:szCs w:val="18"/>
              </w:rPr>
              <w:t>≥18 yrs</w:t>
            </w:r>
          </w:p>
        </w:tc>
        <w:tc>
          <w:tcPr>
            <w:tcW w:w="0" w:type="auto"/>
            <w:tcBorders>
              <w:top w:val="single" w:sz="6" w:space="0" w:color="DEE2E6"/>
              <w:left w:val="single" w:sz="6" w:space="0" w:color="DEE2E6"/>
              <w:bottom w:val="single" w:sz="6" w:space="0" w:color="DEE2E6"/>
              <w:right w:val="single" w:sz="6" w:space="0" w:color="DEE2E6"/>
            </w:tcBorders>
            <w:hideMark/>
          </w:tcPr>
          <w:p w14:paraId="5A403890" w14:textId="77777777" w:rsidR="007E5B37" w:rsidRPr="007E5B37" w:rsidRDefault="007E5B37" w:rsidP="007E5B37">
            <w:pPr>
              <w:shd w:val="clear" w:color="auto" w:fill="FFFFFF"/>
              <w:rPr>
                <w:sz w:val="18"/>
                <w:szCs w:val="18"/>
              </w:rPr>
            </w:pPr>
            <w:r w:rsidRPr="007E5B37">
              <w:rPr>
                <w:sz w:val="18"/>
                <w:szCs w:val="18"/>
              </w:rPr>
              <w:t>45 </w:t>
            </w:r>
            <w:r w:rsidRPr="007E5B37">
              <w:rPr>
                <w:i/>
                <w:iCs/>
                <w:sz w:val="18"/>
                <w:szCs w:val="18"/>
              </w:rPr>
              <w:t>µ</w:t>
            </w:r>
            <w:r w:rsidRPr="007E5B37">
              <w:rPr>
                <w:sz w:val="18"/>
                <w:szCs w:val="18"/>
              </w:rPr>
              <w:t>g/0.5 mL</w:t>
            </w:r>
          </w:p>
        </w:tc>
        <w:tc>
          <w:tcPr>
            <w:tcW w:w="0" w:type="auto"/>
            <w:tcBorders>
              <w:top w:val="single" w:sz="6" w:space="0" w:color="DEE2E6"/>
              <w:left w:val="single" w:sz="6" w:space="0" w:color="DEE2E6"/>
              <w:bottom w:val="single" w:sz="6" w:space="0" w:color="DEE2E6"/>
              <w:right w:val="single" w:sz="6" w:space="0" w:color="DEE2E6"/>
            </w:tcBorders>
            <w:hideMark/>
          </w:tcPr>
          <w:p w14:paraId="6CC6D1EA" w14:textId="77777777" w:rsidR="007E5B37" w:rsidRPr="007E5B37" w:rsidRDefault="007E5B37" w:rsidP="007E5B37">
            <w:pPr>
              <w:shd w:val="clear" w:color="auto" w:fill="FFFFFF"/>
              <w:rPr>
                <w:sz w:val="18"/>
                <w:szCs w:val="18"/>
              </w:rPr>
            </w:pPr>
            <w:r w:rsidRPr="007E5B37">
              <w:rPr>
                <w:sz w:val="18"/>
                <w:szCs w:val="18"/>
              </w:rPr>
              <w:t>IM</w:t>
            </w:r>
            <w:r w:rsidRPr="007E5B37">
              <w:rPr>
                <w:sz w:val="18"/>
                <w:szCs w:val="18"/>
                <w:vertAlign w:val="superscript"/>
              </w:rPr>
              <w:t>¶</w:t>
            </w:r>
          </w:p>
        </w:tc>
        <w:tc>
          <w:tcPr>
            <w:tcW w:w="0" w:type="auto"/>
            <w:tcBorders>
              <w:top w:val="single" w:sz="6" w:space="0" w:color="DEE2E6"/>
              <w:left w:val="single" w:sz="6" w:space="0" w:color="DEE2E6"/>
              <w:bottom w:val="single" w:sz="6" w:space="0" w:color="DEE2E6"/>
              <w:right w:val="single" w:sz="6" w:space="0" w:color="DEE2E6"/>
            </w:tcBorders>
            <w:hideMark/>
          </w:tcPr>
          <w:p w14:paraId="226FE38A" w14:textId="77777777" w:rsidR="007E5B37" w:rsidRPr="007E5B37" w:rsidRDefault="007E5B37" w:rsidP="007E5B37">
            <w:pPr>
              <w:shd w:val="clear" w:color="auto" w:fill="FFFFFF"/>
              <w:rPr>
                <w:sz w:val="18"/>
                <w:szCs w:val="18"/>
              </w:rPr>
            </w:pPr>
            <w:r w:rsidRPr="007E5B37">
              <w:rPr>
                <w:sz w:val="18"/>
                <w:szCs w:val="18"/>
              </w:rPr>
              <w:t>—</w:t>
            </w:r>
          </w:p>
        </w:tc>
      </w:tr>
      <w:tr w:rsidR="007E5B37" w:rsidRPr="007E5B37" w14:paraId="67A0445C" w14:textId="77777777" w:rsidTr="007E5B37">
        <w:tc>
          <w:tcPr>
            <w:tcW w:w="0" w:type="auto"/>
            <w:gridSpan w:val="6"/>
            <w:tcBorders>
              <w:top w:val="single" w:sz="6" w:space="0" w:color="DEE2E6"/>
              <w:left w:val="single" w:sz="6" w:space="0" w:color="DEE2E6"/>
              <w:bottom w:val="single" w:sz="6" w:space="0" w:color="DEE2E6"/>
              <w:right w:val="single" w:sz="6" w:space="0" w:color="DEE2E6"/>
            </w:tcBorders>
            <w:hideMark/>
          </w:tcPr>
          <w:p w14:paraId="6CD2A210" w14:textId="77777777" w:rsidR="007E5B37" w:rsidRPr="007E5B37" w:rsidRDefault="007E5B37" w:rsidP="007E5B37">
            <w:pPr>
              <w:shd w:val="clear" w:color="auto" w:fill="FFFFFF"/>
              <w:rPr>
                <w:sz w:val="18"/>
                <w:szCs w:val="18"/>
              </w:rPr>
            </w:pPr>
            <w:r w:rsidRPr="007E5B37">
              <w:rPr>
                <w:b/>
                <w:bCs/>
                <w:sz w:val="18"/>
                <w:szCs w:val="18"/>
              </w:rPr>
              <w:t>LAIV4 (egg-based vaccine</w:t>
            </w:r>
            <w:r w:rsidRPr="007E5B37">
              <w:rPr>
                <w:b/>
                <w:bCs/>
                <w:sz w:val="18"/>
                <w:szCs w:val="18"/>
                <w:vertAlign w:val="superscript"/>
              </w:rPr>
              <w:t>†</w:t>
            </w:r>
            <w:r w:rsidRPr="007E5B37">
              <w:rPr>
                <w:b/>
                <w:bCs/>
                <w:sz w:val="18"/>
                <w:szCs w:val="18"/>
              </w:rPr>
              <w:t>)</w:t>
            </w:r>
          </w:p>
        </w:tc>
      </w:tr>
      <w:tr w:rsidR="007E5B37" w:rsidRPr="007E5B37" w14:paraId="7078976D" w14:textId="77777777" w:rsidTr="007E5B37">
        <w:tc>
          <w:tcPr>
            <w:tcW w:w="0" w:type="auto"/>
            <w:tcBorders>
              <w:top w:val="single" w:sz="6" w:space="0" w:color="DEE2E6"/>
              <w:left w:val="single" w:sz="6" w:space="0" w:color="DEE2E6"/>
              <w:bottom w:val="single" w:sz="6" w:space="0" w:color="DEE2E6"/>
              <w:right w:val="single" w:sz="6" w:space="0" w:color="DEE2E6"/>
            </w:tcBorders>
            <w:hideMark/>
          </w:tcPr>
          <w:p w14:paraId="0A6B63B4" w14:textId="77777777" w:rsidR="007E5B37" w:rsidRPr="007E5B37" w:rsidRDefault="007E5B37" w:rsidP="007E5B37">
            <w:pPr>
              <w:shd w:val="clear" w:color="auto" w:fill="FFFFFF"/>
              <w:rPr>
                <w:sz w:val="18"/>
                <w:szCs w:val="18"/>
              </w:rPr>
            </w:pPr>
            <w:r w:rsidRPr="007E5B37">
              <w:rPr>
                <w:sz w:val="18"/>
                <w:szCs w:val="18"/>
              </w:rPr>
              <w:t>FluMist Quadrivalent</w:t>
            </w:r>
            <w:r w:rsidRPr="007E5B37">
              <w:rPr>
                <w:sz w:val="18"/>
                <w:szCs w:val="18"/>
              </w:rPr>
              <w:br/>
              <w:t>(AstraZeneca)</w:t>
            </w:r>
          </w:p>
        </w:tc>
        <w:tc>
          <w:tcPr>
            <w:tcW w:w="0" w:type="auto"/>
            <w:tcBorders>
              <w:top w:val="single" w:sz="6" w:space="0" w:color="DEE2E6"/>
              <w:left w:val="single" w:sz="6" w:space="0" w:color="DEE2E6"/>
              <w:bottom w:val="single" w:sz="6" w:space="0" w:color="DEE2E6"/>
              <w:right w:val="single" w:sz="6" w:space="0" w:color="DEE2E6"/>
            </w:tcBorders>
            <w:hideMark/>
          </w:tcPr>
          <w:p w14:paraId="54DCA18B" w14:textId="77777777" w:rsidR="007E5B37" w:rsidRPr="007E5B37" w:rsidRDefault="007E5B37" w:rsidP="007E5B37">
            <w:pPr>
              <w:shd w:val="clear" w:color="auto" w:fill="FFFFFF"/>
              <w:rPr>
                <w:sz w:val="18"/>
                <w:szCs w:val="18"/>
              </w:rPr>
            </w:pPr>
            <w:r w:rsidRPr="007E5B37">
              <w:rPr>
                <w:sz w:val="18"/>
                <w:szCs w:val="18"/>
              </w:rPr>
              <w:t>0.2-mL prefilled single-use intranasal sprayer</w:t>
            </w:r>
          </w:p>
        </w:tc>
        <w:tc>
          <w:tcPr>
            <w:tcW w:w="0" w:type="auto"/>
            <w:tcBorders>
              <w:top w:val="single" w:sz="6" w:space="0" w:color="DEE2E6"/>
              <w:left w:val="single" w:sz="6" w:space="0" w:color="DEE2E6"/>
              <w:bottom w:val="single" w:sz="6" w:space="0" w:color="DEE2E6"/>
              <w:right w:val="single" w:sz="6" w:space="0" w:color="DEE2E6"/>
            </w:tcBorders>
            <w:hideMark/>
          </w:tcPr>
          <w:p w14:paraId="2F2E3155" w14:textId="77777777" w:rsidR="007E5B37" w:rsidRPr="007E5B37" w:rsidRDefault="007E5B37" w:rsidP="007E5B37">
            <w:pPr>
              <w:shd w:val="clear" w:color="auto" w:fill="FFFFFF"/>
              <w:rPr>
                <w:sz w:val="18"/>
                <w:szCs w:val="18"/>
              </w:rPr>
            </w:pPr>
            <w:r w:rsidRPr="007E5B37">
              <w:rPr>
                <w:sz w:val="18"/>
                <w:szCs w:val="18"/>
              </w:rPr>
              <w:t>2 through 49 yrs</w:t>
            </w:r>
          </w:p>
        </w:tc>
        <w:tc>
          <w:tcPr>
            <w:tcW w:w="0" w:type="auto"/>
            <w:tcBorders>
              <w:top w:val="single" w:sz="6" w:space="0" w:color="DEE2E6"/>
              <w:left w:val="single" w:sz="6" w:space="0" w:color="DEE2E6"/>
              <w:bottom w:val="single" w:sz="6" w:space="0" w:color="DEE2E6"/>
              <w:right w:val="single" w:sz="6" w:space="0" w:color="DEE2E6"/>
            </w:tcBorders>
            <w:hideMark/>
          </w:tcPr>
          <w:p w14:paraId="1A274992" w14:textId="77777777" w:rsidR="007E5B37" w:rsidRPr="007E5B37" w:rsidRDefault="007E5B37" w:rsidP="007E5B37">
            <w:pPr>
              <w:shd w:val="clear" w:color="auto" w:fill="FFFFFF"/>
              <w:rPr>
                <w:sz w:val="18"/>
                <w:szCs w:val="18"/>
              </w:rPr>
            </w:pPr>
            <w:r w:rsidRPr="007E5B37">
              <w:rPr>
                <w:sz w:val="18"/>
                <w:szCs w:val="18"/>
              </w:rPr>
              <w:t>10</w:t>
            </w:r>
            <w:r w:rsidRPr="007E5B37">
              <w:rPr>
                <w:sz w:val="18"/>
                <w:szCs w:val="18"/>
                <w:vertAlign w:val="superscript"/>
              </w:rPr>
              <w:t>6.5–7.5 </w:t>
            </w:r>
            <w:r w:rsidRPr="007E5B37">
              <w:rPr>
                <w:sz w:val="18"/>
                <w:szCs w:val="18"/>
              </w:rPr>
              <w:t>fluorescent focus units/0.2 mL</w:t>
            </w:r>
          </w:p>
        </w:tc>
        <w:tc>
          <w:tcPr>
            <w:tcW w:w="0" w:type="auto"/>
            <w:tcBorders>
              <w:top w:val="single" w:sz="6" w:space="0" w:color="DEE2E6"/>
              <w:left w:val="single" w:sz="6" w:space="0" w:color="DEE2E6"/>
              <w:bottom w:val="single" w:sz="6" w:space="0" w:color="DEE2E6"/>
              <w:right w:val="single" w:sz="6" w:space="0" w:color="DEE2E6"/>
            </w:tcBorders>
            <w:hideMark/>
          </w:tcPr>
          <w:p w14:paraId="703E28A6" w14:textId="77777777" w:rsidR="007E5B37" w:rsidRPr="007E5B37" w:rsidRDefault="007E5B37" w:rsidP="007E5B37">
            <w:pPr>
              <w:shd w:val="clear" w:color="auto" w:fill="FFFFFF"/>
              <w:rPr>
                <w:sz w:val="18"/>
                <w:szCs w:val="18"/>
              </w:rPr>
            </w:pPr>
            <w:r w:rsidRPr="007E5B37">
              <w:rPr>
                <w:sz w:val="18"/>
                <w:szCs w:val="18"/>
              </w:rPr>
              <w:t>NAS</w:t>
            </w:r>
          </w:p>
        </w:tc>
        <w:tc>
          <w:tcPr>
            <w:tcW w:w="0" w:type="auto"/>
            <w:tcBorders>
              <w:top w:val="single" w:sz="6" w:space="0" w:color="DEE2E6"/>
              <w:left w:val="single" w:sz="6" w:space="0" w:color="DEE2E6"/>
              <w:bottom w:val="single" w:sz="6" w:space="0" w:color="DEE2E6"/>
              <w:right w:val="single" w:sz="6" w:space="0" w:color="DEE2E6"/>
            </w:tcBorders>
            <w:hideMark/>
          </w:tcPr>
          <w:p w14:paraId="1BAA5481" w14:textId="77777777" w:rsidR="007E5B37" w:rsidRPr="007E5B37" w:rsidRDefault="007E5B37" w:rsidP="007E5B37">
            <w:pPr>
              <w:shd w:val="clear" w:color="auto" w:fill="FFFFFF"/>
              <w:rPr>
                <w:sz w:val="18"/>
                <w:szCs w:val="18"/>
              </w:rPr>
            </w:pPr>
            <w:r w:rsidRPr="007E5B37">
              <w:rPr>
                <w:sz w:val="18"/>
                <w:szCs w:val="18"/>
              </w:rPr>
              <w:t>—</w:t>
            </w:r>
          </w:p>
        </w:tc>
      </w:tr>
    </w:tbl>
    <w:p w14:paraId="5D562423" w14:textId="77777777" w:rsidR="007E5B37" w:rsidRPr="007E5B37" w:rsidRDefault="007E5B37" w:rsidP="007E5B37">
      <w:pPr>
        <w:shd w:val="clear" w:color="auto" w:fill="FFFFFF"/>
        <w:rPr>
          <w:sz w:val="18"/>
          <w:szCs w:val="18"/>
        </w:rPr>
      </w:pPr>
      <w:r w:rsidRPr="007E5B37">
        <w:rPr>
          <w:b/>
          <w:bCs/>
          <w:sz w:val="18"/>
          <w:szCs w:val="18"/>
        </w:rPr>
        <w:t>Abbreviations:</w:t>
      </w:r>
      <w:r w:rsidRPr="007E5B37">
        <w:rPr>
          <w:sz w:val="18"/>
          <w:szCs w:val="18"/>
        </w:rPr>
        <w:t> ACIP = Advisory Committee on Immunization Practices; FDA = Food and Drug Administration; HA = hemagglutinin; IIV4 = inactivated influenza vaccine, quadrivalent; IM = intramuscular; LAIV4 = live attenuated influenza vaccine, quadrivalent; MDV = multidose vial; NAS = intranasal; PFS = prefilled syringe; RIV4 = recombinant influenza vaccine, quadrivalent; SDV = single-dose vial.</w:t>
      </w:r>
    </w:p>
    <w:p w14:paraId="4CB53026" w14:textId="77777777" w:rsidR="007E5B37" w:rsidRPr="007E5B37" w:rsidRDefault="007E5B37" w:rsidP="007E5B37">
      <w:pPr>
        <w:shd w:val="clear" w:color="auto" w:fill="FFFFFF"/>
        <w:rPr>
          <w:sz w:val="18"/>
          <w:szCs w:val="18"/>
        </w:rPr>
      </w:pPr>
      <w:r w:rsidRPr="007E5B37">
        <w:rPr>
          <w:sz w:val="18"/>
          <w:szCs w:val="18"/>
        </w:rPr>
        <w:t>* Vaccination providers should consult FDA-approved prescribing information for 2022–23 influenza vaccines for the most complete and updated information, including but not limited to indications, contraindications, warnings, and precautions. Package inserts for U.S.-licensed vaccines are available at </w:t>
      </w:r>
      <w:hyperlink r:id="rId7" w:history="1">
        <w:r w:rsidRPr="007E5B37">
          <w:rPr>
            <w:rStyle w:val="Hyperlink"/>
            <w:sz w:val="18"/>
            <w:szCs w:val="18"/>
          </w:rPr>
          <w:t>https://www.fda.gov/vaccines-blood-biologics/vaccines/vaccines-licensed-use-united-states</w:t>
        </w:r>
      </w:hyperlink>
      <w:r w:rsidRPr="007E5B37">
        <w:rPr>
          <w:sz w:val="18"/>
          <w:szCs w:val="18"/>
        </w:rPr>
        <w:t>. Availability and characteristics of specific products and presentations might change or differ from what is described in this table and in the text of this report.</w:t>
      </w:r>
    </w:p>
    <w:p w14:paraId="5E050F0C" w14:textId="77777777" w:rsidR="007E5B37" w:rsidRPr="007E5B37" w:rsidRDefault="007E5B37" w:rsidP="007E5B37">
      <w:pPr>
        <w:shd w:val="clear" w:color="auto" w:fill="FFFFFF"/>
        <w:rPr>
          <w:sz w:val="18"/>
          <w:szCs w:val="18"/>
        </w:rPr>
      </w:pPr>
      <w:r w:rsidRPr="007E5B37">
        <w:rPr>
          <w:sz w:val="18"/>
          <w:szCs w:val="18"/>
          <w:vertAlign w:val="superscript"/>
        </w:rPr>
        <w:t>†</w:t>
      </w:r>
      <w:r w:rsidRPr="007E5B37">
        <w:rPr>
          <w:sz w:val="18"/>
          <w:szCs w:val="18"/>
        </w:rPr>
        <w:t> Although a history of severe allergic reaction (e.g., anaphylaxis) to egg is a labeled contraindication to the use of egg-based IIV4s and LAIV4, ACIP recommends that persons with a history of egg allergy may receive any licensed, recommended influenza vaccine that is otherwise appropriate for their age and health status. Those who report having had reactions to egg involving symptoms other than urticaria (e.g., angioedema or swelling, respiratory distress, lightheadedness, or recurrent emesis) or who required epinephrine or another emergency medical intervention should be vaccinated in an inpatient or outpatient medical setting (including but not necessarily limited to hospitals, clinics, health departments, and physician offices) supervised by a health care provider who is able to recognize and manage severe allergic reactions, if a vaccine other than ccIIV4 or RIV4 is used.</w:t>
      </w:r>
    </w:p>
    <w:p w14:paraId="031F391F" w14:textId="77777777" w:rsidR="007E5B37" w:rsidRPr="007E5B37" w:rsidRDefault="007E5B37" w:rsidP="007E5B37">
      <w:pPr>
        <w:shd w:val="clear" w:color="auto" w:fill="FFFFFF"/>
        <w:rPr>
          <w:sz w:val="18"/>
          <w:szCs w:val="18"/>
        </w:rPr>
      </w:pPr>
      <w:r w:rsidRPr="007E5B37">
        <w:rPr>
          <w:sz w:val="18"/>
          <w:szCs w:val="18"/>
          <w:vertAlign w:val="superscript"/>
        </w:rPr>
        <w:t>§</w:t>
      </w:r>
      <w:r w:rsidRPr="007E5B37">
        <w:rPr>
          <w:sz w:val="18"/>
          <w:szCs w:val="18"/>
        </w:rPr>
        <w:t>The approved dose volume for Afluria Quadrivalent is 0.25 mL for children aged 6 through 35 months and 0.5 mL for persons aged ≥3 years. However, 0.25-mL prefilled syringes are not expected to be available for the 2022–23 season. For children aged 6 through 35 months, a 0.25-mL dose must be obtained from a multidose vial.</w:t>
      </w:r>
    </w:p>
    <w:p w14:paraId="5FDF141B" w14:textId="77777777" w:rsidR="007E5B37" w:rsidRPr="007E5B37" w:rsidRDefault="007E5B37" w:rsidP="007E5B37">
      <w:pPr>
        <w:shd w:val="clear" w:color="auto" w:fill="FFFFFF"/>
        <w:rPr>
          <w:sz w:val="18"/>
          <w:szCs w:val="18"/>
        </w:rPr>
      </w:pPr>
      <w:r w:rsidRPr="007E5B37">
        <w:rPr>
          <w:sz w:val="18"/>
          <w:szCs w:val="18"/>
          <w:vertAlign w:val="superscript"/>
        </w:rPr>
        <w:t>¶</w:t>
      </w:r>
      <w:r w:rsidRPr="007E5B37">
        <w:rPr>
          <w:sz w:val="18"/>
          <w:szCs w:val="18"/>
        </w:rPr>
        <w:t> IM-administered influenza vaccines should be given by needle and syringe only, with the exception of the MDV presentation of Afluria Quadrivalent, which may alternatively be given by the PharmaJet Stratis jet injector for persons aged 18 through 64 years only. For adults and older children, the recommended site for intramuscular influenza vaccination is the deltoid muscle. The preferred site for infants and young children is the anterolateral aspect of the thigh. Additional specific guidance regarding site selection and needle length for intramuscular administration is available in the ACIP General Best Practice Guidelines for Immunization, available at </w:t>
      </w:r>
      <w:hyperlink r:id="rId8" w:history="1">
        <w:r w:rsidRPr="007E5B37">
          <w:rPr>
            <w:rStyle w:val="Hyperlink"/>
            <w:sz w:val="18"/>
            <w:szCs w:val="18"/>
          </w:rPr>
          <w:t>https://www.cdc.gov/vaccines/hcp/acip-recs/general-recs/index.html</w:t>
        </w:r>
      </w:hyperlink>
      <w:r w:rsidRPr="007E5B37">
        <w:rPr>
          <w:sz w:val="18"/>
          <w:szCs w:val="18"/>
        </w:rPr>
        <w:t>.</w:t>
      </w:r>
    </w:p>
    <w:p w14:paraId="0C133258" w14:textId="77777777" w:rsidR="007E5B37" w:rsidRPr="007E5B37" w:rsidRDefault="007E5B37" w:rsidP="007E5B37">
      <w:pPr>
        <w:shd w:val="clear" w:color="auto" w:fill="FFFFFF"/>
        <w:rPr>
          <w:sz w:val="18"/>
          <w:szCs w:val="18"/>
        </w:rPr>
      </w:pPr>
      <w:r w:rsidRPr="007E5B37">
        <w:rPr>
          <w:sz w:val="18"/>
          <w:szCs w:val="18"/>
        </w:rPr>
        <w:t>** Not applicable.</w:t>
      </w:r>
    </w:p>
    <w:p w14:paraId="577F1EFA" w14:textId="77777777" w:rsidR="007E5B37" w:rsidRPr="007E5B37" w:rsidRDefault="007E5B37" w:rsidP="007E5B37">
      <w:pPr>
        <w:shd w:val="clear" w:color="auto" w:fill="FFFFFF"/>
        <w:rPr>
          <w:sz w:val="18"/>
          <w:szCs w:val="18"/>
        </w:rPr>
      </w:pPr>
      <w:r w:rsidRPr="007E5B37">
        <w:rPr>
          <w:sz w:val="18"/>
          <w:szCs w:val="18"/>
          <w:vertAlign w:val="superscript"/>
        </w:rPr>
        <w:t>††</w:t>
      </w:r>
      <w:r w:rsidRPr="007E5B37">
        <w:rPr>
          <w:sz w:val="18"/>
          <w:szCs w:val="18"/>
        </w:rPr>
        <w:t> Fluzone Quadrivalent is currently approved for ages 6 through 35 months at either 0.25 mL or 0.5 mL per dose; however, 0.25-mL prefilled syringes are not expected to be available for the 2022–23 influenza season. If a prefilled syringe of Fluzone Quadrivalent is used for a child in this age group, the dose volume will be 0.5 mL per dose.</w:t>
      </w:r>
    </w:p>
    <w:p w14:paraId="42D441D3" w14:textId="77777777" w:rsidR="007E5B37" w:rsidRPr="007E5B37" w:rsidRDefault="007E5B37" w:rsidP="007E5B37">
      <w:pPr>
        <w:shd w:val="clear" w:color="auto" w:fill="FFFFFF"/>
        <w:rPr>
          <w:sz w:val="18"/>
          <w:szCs w:val="18"/>
        </w:rPr>
      </w:pPr>
      <w:r w:rsidRPr="007E5B37">
        <w:rPr>
          <w:sz w:val="18"/>
          <w:szCs w:val="18"/>
        </w:rPr>
        <w:t>Page last reviewed: August 24, 2022</w:t>
      </w:r>
    </w:p>
    <w:p w14:paraId="63EE0FCC" w14:textId="77777777" w:rsidR="007E5B37" w:rsidRPr="007E5B37" w:rsidRDefault="007E5B37" w:rsidP="007E5B37">
      <w:pPr>
        <w:shd w:val="clear" w:color="auto" w:fill="FFFFFF"/>
        <w:rPr>
          <w:sz w:val="18"/>
          <w:szCs w:val="18"/>
        </w:rPr>
      </w:pPr>
      <w:r w:rsidRPr="007E5B37">
        <w:rPr>
          <w:sz w:val="18"/>
          <w:szCs w:val="18"/>
        </w:rPr>
        <w:t>Content source: </w:t>
      </w:r>
      <w:hyperlink r:id="rId9" w:history="1">
        <w:r w:rsidRPr="007E5B37">
          <w:rPr>
            <w:rStyle w:val="Hyperlink"/>
            <w:sz w:val="18"/>
            <w:szCs w:val="18"/>
          </w:rPr>
          <w:t>Centers for Disease Control and Prevention</w:t>
        </w:r>
      </w:hyperlink>
      <w:r w:rsidRPr="007E5B37">
        <w:rPr>
          <w:sz w:val="18"/>
          <w:szCs w:val="18"/>
        </w:rPr>
        <w:t>, </w:t>
      </w:r>
      <w:hyperlink r:id="rId10" w:history="1">
        <w:r w:rsidRPr="007E5B37">
          <w:rPr>
            <w:rStyle w:val="Hyperlink"/>
            <w:sz w:val="18"/>
            <w:szCs w:val="18"/>
          </w:rPr>
          <w:t>National Center for Immunization and Respiratory Diseases (NCIRD)</w:t>
        </w:r>
      </w:hyperlink>
    </w:p>
    <w:p w14:paraId="1D044D2B" w14:textId="77777777" w:rsidR="007E5B37" w:rsidRPr="00B02465" w:rsidRDefault="007E5B37" w:rsidP="00425CBA">
      <w:pPr>
        <w:shd w:val="clear" w:color="auto" w:fill="FFFFFF"/>
        <w:rPr>
          <w:sz w:val="18"/>
          <w:szCs w:val="18"/>
        </w:rPr>
      </w:pPr>
    </w:p>
    <w:sectPr w:rsidR="007E5B37" w:rsidRPr="00B02465" w:rsidSect="003D63F8">
      <w:pgSz w:w="12240" w:h="15840"/>
      <w:pgMar w:top="1008"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F5AE" w16cex:dateUtc="2022-09-22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E4363" w16cid:durableId="26D6F5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D3"/>
    <w:rsid w:val="00096008"/>
    <w:rsid w:val="00115E7D"/>
    <w:rsid w:val="00186E8A"/>
    <w:rsid w:val="0030708A"/>
    <w:rsid w:val="003D63F8"/>
    <w:rsid w:val="00425CBA"/>
    <w:rsid w:val="00432559"/>
    <w:rsid w:val="00485D71"/>
    <w:rsid w:val="005847EE"/>
    <w:rsid w:val="006D6824"/>
    <w:rsid w:val="007E5B37"/>
    <w:rsid w:val="008C6252"/>
    <w:rsid w:val="008D47A0"/>
    <w:rsid w:val="009B269F"/>
    <w:rsid w:val="00AF7D1D"/>
    <w:rsid w:val="00B02465"/>
    <w:rsid w:val="00B91AC4"/>
    <w:rsid w:val="00BF7387"/>
    <w:rsid w:val="00CD2949"/>
    <w:rsid w:val="00D47996"/>
    <w:rsid w:val="00E80AC7"/>
    <w:rsid w:val="00EE6FDC"/>
    <w:rsid w:val="00F837D3"/>
    <w:rsid w:val="00FB64E7"/>
    <w:rsid w:val="00FC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5566"/>
  <w15:docId w15:val="{191D8A8D-8F03-4A53-B6F8-CF0AF742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D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85D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7D3"/>
    <w:rPr>
      <w:color w:val="0000FF"/>
      <w:u w:val="single"/>
    </w:rPr>
  </w:style>
  <w:style w:type="character" w:styleId="FollowedHyperlink">
    <w:name w:val="FollowedHyperlink"/>
    <w:basedOn w:val="DefaultParagraphFont"/>
    <w:uiPriority w:val="99"/>
    <w:semiHidden/>
    <w:unhideWhenUsed/>
    <w:rsid w:val="00115E7D"/>
    <w:rPr>
      <w:color w:val="800080" w:themeColor="followedHyperlink"/>
      <w:u w:val="single"/>
    </w:rPr>
  </w:style>
  <w:style w:type="paragraph" w:styleId="Revision">
    <w:name w:val="Revision"/>
    <w:hidden/>
    <w:uiPriority w:val="99"/>
    <w:semiHidden/>
    <w:rsid w:val="00432559"/>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8C6252"/>
    <w:rPr>
      <w:sz w:val="16"/>
      <w:szCs w:val="16"/>
    </w:rPr>
  </w:style>
  <w:style w:type="paragraph" w:styleId="CommentText">
    <w:name w:val="annotation text"/>
    <w:basedOn w:val="Normal"/>
    <w:link w:val="CommentTextChar"/>
    <w:uiPriority w:val="99"/>
    <w:unhideWhenUsed/>
    <w:rsid w:val="008C6252"/>
    <w:rPr>
      <w:sz w:val="20"/>
      <w:szCs w:val="20"/>
    </w:rPr>
  </w:style>
  <w:style w:type="character" w:customStyle="1" w:styleId="CommentTextChar">
    <w:name w:val="Comment Text Char"/>
    <w:basedOn w:val="DefaultParagraphFont"/>
    <w:link w:val="CommentText"/>
    <w:uiPriority w:val="99"/>
    <w:rsid w:val="008C625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6252"/>
    <w:rPr>
      <w:b/>
      <w:bCs/>
    </w:rPr>
  </w:style>
  <w:style w:type="character" w:customStyle="1" w:styleId="CommentSubjectChar">
    <w:name w:val="Comment Subject Char"/>
    <w:basedOn w:val="CommentTextChar"/>
    <w:link w:val="CommentSubject"/>
    <w:uiPriority w:val="99"/>
    <w:semiHidden/>
    <w:rsid w:val="008C6252"/>
    <w:rPr>
      <w:rFonts w:ascii="Calibri" w:hAnsi="Calibri" w:cs="Times New Roman"/>
      <w:b/>
      <w:bCs/>
      <w:sz w:val="20"/>
      <w:szCs w:val="20"/>
    </w:rPr>
  </w:style>
  <w:style w:type="paragraph" w:styleId="BalloonText">
    <w:name w:val="Balloon Text"/>
    <w:basedOn w:val="Normal"/>
    <w:link w:val="BalloonTextChar"/>
    <w:uiPriority w:val="99"/>
    <w:semiHidden/>
    <w:unhideWhenUsed/>
    <w:rsid w:val="00485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71"/>
    <w:rPr>
      <w:rFonts w:ascii="Segoe UI" w:hAnsi="Segoe UI" w:cs="Segoe UI"/>
      <w:sz w:val="18"/>
      <w:szCs w:val="18"/>
    </w:rPr>
  </w:style>
  <w:style w:type="character" w:customStyle="1" w:styleId="Heading1Char">
    <w:name w:val="Heading 1 Char"/>
    <w:basedOn w:val="DefaultParagraphFont"/>
    <w:link w:val="Heading1"/>
    <w:uiPriority w:val="9"/>
    <w:rsid w:val="00485D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8771">
      <w:bodyDiv w:val="1"/>
      <w:marLeft w:val="0"/>
      <w:marRight w:val="0"/>
      <w:marTop w:val="0"/>
      <w:marBottom w:val="0"/>
      <w:divBdr>
        <w:top w:val="none" w:sz="0" w:space="0" w:color="auto"/>
        <w:left w:val="none" w:sz="0" w:space="0" w:color="auto"/>
        <w:bottom w:val="none" w:sz="0" w:space="0" w:color="auto"/>
        <w:right w:val="none" w:sz="0" w:space="0" w:color="auto"/>
      </w:divBdr>
      <w:divsChild>
        <w:div w:id="409235259">
          <w:marLeft w:val="-225"/>
          <w:marRight w:val="-225"/>
          <w:marTop w:val="0"/>
          <w:marBottom w:val="0"/>
          <w:divBdr>
            <w:top w:val="none" w:sz="0" w:space="0" w:color="auto"/>
            <w:left w:val="none" w:sz="0" w:space="0" w:color="auto"/>
            <w:bottom w:val="none" w:sz="0" w:space="0" w:color="auto"/>
            <w:right w:val="none" w:sz="0" w:space="0" w:color="auto"/>
          </w:divBdr>
          <w:divsChild>
            <w:div w:id="320234063">
              <w:marLeft w:val="0"/>
              <w:marRight w:val="0"/>
              <w:marTop w:val="0"/>
              <w:marBottom w:val="0"/>
              <w:divBdr>
                <w:top w:val="none" w:sz="0" w:space="0" w:color="auto"/>
                <w:left w:val="none" w:sz="0" w:space="0" w:color="auto"/>
                <w:bottom w:val="none" w:sz="0" w:space="0" w:color="auto"/>
                <w:right w:val="none" w:sz="0" w:space="0" w:color="auto"/>
              </w:divBdr>
              <w:divsChild>
                <w:div w:id="65956320">
                  <w:marLeft w:val="0"/>
                  <w:marRight w:val="0"/>
                  <w:marTop w:val="0"/>
                  <w:marBottom w:val="0"/>
                  <w:divBdr>
                    <w:top w:val="none" w:sz="0" w:space="0" w:color="auto"/>
                    <w:left w:val="none" w:sz="0" w:space="0" w:color="auto"/>
                    <w:bottom w:val="none" w:sz="0" w:space="0" w:color="auto"/>
                    <w:right w:val="none" w:sz="0" w:space="0" w:color="auto"/>
                  </w:divBdr>
                </w:div>
                <w:div w:id="1882935643">
                  <w:marLeft w:val="0"/>
                  <w:marRight w:val="0"/>
                  <w:marTop w:val="0"/>
                  <w:marBottom w:val="0"/>
                  <w:divBdr>
                    <w:top w:val="none" w:sz="0" w:space="0" w:color="auto"/>
                    <w:left w:val="none" w:sz="0" w:space="0" w:color="auto"/>
                    <w:bottom w:val="none" w:sz="0" w:space="0" w:color="auto"/>
                    <w:right w:val="none" w:sz="0" w:space="0" w:color="auto"/>
                  </w:divBdr>
                </w:div>
                <w:div w:id="451632198">
                  <w:marLeft w:val="0"/>
                  <w:marRight w:val="0"/>
                  <w:marTop w:val="0"/>
                  <w:marBottom w:val="0"/>
                  <w:divBdr>
                    <w:top w:val="none" w:sz="0" w:space="0" w:color="auto"/>
                    <w:left w:val="none" w:sz="0" w:space="0" w:color="auto"/>
                    <w:bottom w:val="none" w:sz="0" w:space="0" w:color="auto"/>
                    <w:right w:val="none" w:sz="0" w:space="0" w:color="auto"/>
                  </w:divBdr>
                  <w:divsChild>
                    <w:div w:id="1753744835">
                      <w:marLeft w:val="-225"/>
                      <w:marRight w:val="-225"/>
                      <w:marTop w:val="0"/>
                      <w:marBottom w:val="0"/>
                      <w:divBdr>
                        <w:top w:val="none" w:sz="0" w:space="0" w:color="auto"/>
                        <w:left w:val="none" w:sz="0" w:space="0" w:color="auto"/>
                        <w:bottom w:val="none" w:sz="0" w:space="0" w:color="auto"/>
                        <w:right w:val="none" w:sz="0" w:space="0" w:color="auto"/>
                      </w:divBdr>
                      <w:divsChild>
                        <w:div w:id="27029411">
                          <w:marLeft w:val="0"/>
                          <w:marRight w:val="0"/>
                          <w:marTop w:val="0"/>
                          <w:marBottom w:val="0"/>
                          <w:divBdr>
                            <w:top w:val="none" w:sz="0" w:space="0" w:color="auto"/>
                            <w:left w:val="none" w:sz="0" w:space="0" w:color="auto"/>
                            <w:bottom w:val="none" w:sz="0" w:space="0" w:color="auto"/>
                            <w:right w:val="none" w:sz="0" w:space="0" w:color="auto"/>
                          </w:divBdr>
                          <w:divsChild>
                            <w:div w:id="784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30216">
          <w:marLeft w:val="-225"/>
          <w:marRight w:val="-225"/>
          <w:marTop w:val="0"/>
          <w:marBottom w:val="0"/>
          <w:divBdr>
            <w:top w:val="none" w:sz="0" w:space="0" w:color="auto"/>
            <w:left w:val="none" w:sz="0" w:space="0" w:color="auto"/>
            <w:bottom w:val="none" w:sz="0" w:space="0" w:color="auto"/>
            <w:right w:val="none" w:sz="0" w:space="0" w:color="auto"/>
          </w:divBdr>
        </w:div>
      </w:divsChild>
    </w:div>
    <w:div w:id="326245973">
      <w:bodyDiv w:val="1"/>
      <w:marLeft w:val="0"/>
      <w:marRight w:val="0"/>
      <w:marTop w:val="0"/>
      <w:marBottom w:val="0"/>
      <w:divBdr>
        <w:top w:val="none" w:sz="0" w:space="0" w:color="auto"/>
        <w:left w:val="none" w:sz="0" w:space="0" w:color="auto"/>
        <w:bottom w:val="none" w:sz="0" w:space="0" w:color="auto"/>
        <w:right w:val="none" w:sz="0" w:space="0" w:color="auto"/>
      </w:divBdr>
      <w:divsChild>
        <w:div w:id="40444543">
          <w:marLeft w:val="-225"/>
          <w:marRight w:val="-225"/>
          <w:marTop w:val="0"/>
          <w:marBottom w:val="0"/>
          <w:divBdr>
            <w:top w:val="none" w:sz="0" w:space="0" w:color="auto"/>
            <w:left w:val="none" w:sz="0" w:space="0" w:color="auto"/>
            <w:bottom w:val="none" w:sz="0" w:space="0" w:color="auto"/>
            <w:right w:val="none" w:sz="0" w:space="0" w:color="auto"/>
          </w:divBdr>
          <w:divsChild>
            <w:div w:id="1147867457">
              <w:marLeft w:val="0"/>
              <w:marRight w:val="0"/>
              <w:marTop w:val="0"/>
              <w:marBottom w:val="0"/>
              <w:divBdr>
                <w:top w:val="none" w:sz="0" w:space="0" w:color="auto"/>
                <w:left w:val="none" w:sz="0" w:space="0" w:color="auto"/>
                <w:bottom w:val="none" w:sz="0" w:space="0" w:color="auto"/>
                <w:right w:val="none" w:sz="0" w:space="0" w:color="auto"/>
              </w:divBdr>
              <w:divsChild>
                <w:div w:id="1881823999">
                  <w:marLeft w:val="0"/>
                  <w:marRight w:val="0"/>
                  <w:marTop w:val="0"/>
                  <w:marBottom w:val="0"/>
                  <w:divBdr>
                    <w:top w:val="none" w:sz="0" w:space="0" w:color="auto"/>
                    <w:left w:val="none" w:sz="0" w:space="0" w:color="auto"/>
                    <w:bottom w:val="none" w:sz="0" w:space="0" w:color="auto"/>
                    <w:right w:val="none" w:sz="0" w:space="0" w:color="auto"/>
                  </w:divBdr>
                </w:div>
                <w:div w:id="158666002">
                  <w:marLeft w:val="0"/>
                  <w:marRight w:val="0"/>
                  <w:marTop w:val="0"/>
                  <w:marBottom w:val="0"/>
                  <w:divBdr>
                    <w:top w:val="none" w:sz="0" w:space="0" w:color="auto"/>
                    <w:left w:val="none" w:sz="0" w:space="0" w:color="auto"/>
                    <w:bottom w:val="none" w:sz="0" w:space="0" w:color="auto"/>
                    <w:right w:val="none" w:sz="0" w:space="0" w:color="auto"/>
                  </w:divBdr>
                </w:div>
                <w:div w:id="1861701496">
                  <w:marLeft w:val="0"/>
                  <w:marRight w:val="0"/>
                  <w:marTop w:val="0"/>
                  <w:marBottom w:val="0"/>
                  <w:divBdr>
                    <w:top w:val="none" w:sz="0" w:space="0" w:color="auto"/>
                    <w:left w:val="none" w:sz="0" w:space="0" w:color="auto"/>
                    <w:bottom w:val="none" w:sz="0" w:space="0" w:color="auto"/>
                    <w:right w:val="none" w:sz="0" w:space="0" w:color="auto"/>
                  </w:divBdr>
                  <w:divsChild>
                    <w:div w:id="1067146026">
                      <w:marLeft w:val="-225"/>
                      <w:marRight w:val="-225"/>
                      <w:marTop w:val="0"/>
                      <w:marBottom w:val="0"/>
                      <w:divBdr>
                        <w:top w:val="none" w:sz="0" w:space="0" w:color="auto"/>
                        <w:left w:val="none" w:sz="0" w:space="0" w:color="auto"/>
                        <w:bottom w:val="none" w:sz="0" w:space="0" w:color="auto"/>
                        <w:right w:val="none" w:sz="0" w:space="0" w:color="auto"/>
                      </w:divBdr>
                      <w:divsChild>
                        <w:div w:id="1476993812">
                          <w:marLeft w:val="0"/>
                          <w:marRight w:val="0"/>
                          <w:marTop w:val="0"/>
                          <w:marBottom w:val="0"/>
                          <w:divBdr>
                            <w:top w:val="none" w:sz="0" w:space="0" w:color="auto"/>
                            <w:left w:val="none" w:sz="0" w:space="0" w:color="auto"/>
                            <w:bottom w:val="none" w:sz="0" w:space="0" w:color="auto"/>
                            <w:right w:val="none" w:sz="0" w:space="0" w:color="auto"/>
                          </w:divBdr>
                          <w:divsChild>
                            <w:div w:id="1317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681467">
          <w:marLeft w:val="-225"/>
          <w:marRight w:val="-225"/>
          <w:marTop w:val="0"/>
          <w:marBottom w:val="0"/>
          <w:divBdr>
            <w:top w:val="none" w:sz="0" w:space="0" w:color="auto"/>
            <w:left w:val="none" w:sz="0" w:space="0" w:color="auto"/>
            <w:bottom w:val="none" w:sz="0" w:space="0" w:color="auto"/>
            <w:right w:val="none" w:sz="0" w:space="0" w:color="auto"/>
          </w:divBdr>
          <w:divsChild>
            <w:div w:id="1996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3660">
      <w:bodyDiv w:val="1"/>
      <w:marLeft w:val="0"/>
      <w:marRight w:val="0"/>
      <w:marTop w:val="0"/>
      <w:marBottom w:val="0"/>
      <w:divBdr>
        <w:top w:val="none" w:sz="0" w:space="0" w:color="auto"/>
        <w:left w:val="none" w:sz="0" w:space="0" w:color="auto"/>
        <w:bottom w:val="none" w:sz="0" w:space="0" w:color="auto"/>
        <w:right w:val="none" w:sz="0" w:space="0" w:color="auto"/>
      </w:divBdr>
      <w:divsChild>
        <w:div w:id="1628387804">
          <w:marLeft w:val="-225"/>
          <w:marRight w:val="-225"/>
          <w:marTop w:val="0"/>
          <w:marBottom w:val="0"/>
          <w:divBdr>
            <w:top w:val="none" w:sz="0" w:space="0" w:color="auto"/>
            <w:left w:val="none" w:sz="0" w:space="0" w:color="auto"/>
            <w:bottom w:val="none" w:sz="0" w:space="0" w:color="auto"/>
            <w:right w:val="none" w:sz="0" w:space="0" w:color="auto"/>
          </w:divBdr>
          <w:divsChild>
            <w:div w:id="482891728">
              <w:marLeft w:val="0"/>
              <w:marRight w:val="0"/>
              <w:marTop w:val="0"/>
              <w:marBottom w:val="0"/>
              <w:divBdr>
                <w:top w:val="none" w:sz="0" w:space="0" w:color="auto"/>
                <w:left w:val="none" w:sz="0" w:space="0" w:color="auto"/>
                <w:bottom w:val="none" w:sz="0" w:space="0" w:color="auto"/>
                <w:right w:val="none" w:sz="0" w:space="0" w:color="auto"/>
              </w:divBdr>
              <w:divsChild>
                <w:div w:id="342316990">
                  <w:marLeft w:val="0"/>
                  <w:marRight w:val="0"/>
                  <w:marTop w:val="0"/>
                  <w:marBottom w:val="0"/>
                  <w:divBdr>
                    <w:top w:val="none" w:sz="0" w:space="0" w:color="auto"/>
                    <w:left w:val="none" w:sz="0" w:space="0" w:color="auto"/>
                    <w:bottom w:val="none" w:sz="0" w:space="0" w:color="auto"/>
                    <w:right w:val="none" w:sz="0" w:space="0" w:color="auto"/>
                  </w:divBdr>
                </w:div>
                <w:div w:id="1199321064">
                  <w:marLeft w:val="0"/>
                  <w:marRight w:val="0"/>
                  <w:marTop w:val="0"/>
                  <w:marBottom w:val="0"/>
                  <w:divBdr>
                    <w:top w:val="none" w:sz="0" w:space="0" w:color="auto"/>
                    <w:left w:val="none" w:sz="0" w:space="0" w:color="auto"/>
                    <w:bottom w:val="none" w:sz="0" w:space="0" w:color="auto"/>
                    <w:right w:val="none" w:sz="0" w:space="0" w:color="auto"/>
                  </w:divBdr>
                </w:div>
                <w:div w:id="712778975">
                  <w:marLeft w:val="0"/>
                  <w:marRight w:val="0"/>
                  <w:marTop w:val="0"/>
                  <w:marBottom w:val="0"/>
                  <w:divBdr>
                    <w:top w:val="none" w:sz="0" w:space="0" w:color="auto"/>
                    <w:left w:val="none" w:sz="0" w:space="0" w:color="auto"/>
                    <w:bottom w:val="none" w:sz="0" w:space="0" w:color="auto"/>
                    <w:right w:val="none" w:sz="0" w:space="0" w:color="auto"/>
                  </w:divBdr>
                  <w:divsChild>
                    <w:div w:id="1801537729">
                      <w:marLeft w:val="-225"/>
                      <w:marRight w:val="-225"/>
                      <w:marTop w:val="0"/>
                      <w:marBottom w:val="0"/>
                      <w:divBdr>
                        <w:top w:val="none" w:sz="0" w:space="0" w:color="auto"/>
                        <w:left w:val="none" w:sz="0" w:space="0" w:color="auto"/>
                        <w:bottom w:val="none" w:sz="0" w:space="0" w:color="auto"/>
                        <w:right w:val="none" w:sz="0" w:space="0" w:color="auto"/>
                      </w:divBdr>
                      <w:divsChild>
                        <w:div w:id="564029770">
                          <w:marLeft w:val="0"/>
                          <w:marRight w:val="0"/>
                          <w:marTop w:val="0"/>
                          <w:marBottom w:val="0"/>
                          <w:divBdr>
                            <w:top w:val="none" w:sz="0" w:space="0" w:color="auto"/>
                            <w:left w:val="none" w:sz="0" w:space="0" w:color="auto"/>
                            <w:bottom w:val="none" w:sz="0" w:space="0" w:color="auto"/>
                            <w:right w:val="none" w:sz="0" w:space="0" w:color="auto"/>
                          </w:divBdr>
                          <w:divsChild>
                            <w:div w:id="10808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28501">
          <w:marLeft w:val="-225"/>
          <w:marRight w:val="-225"/>
          <w:marTop w:val="0"/>
          <w:marBottom w:val="0"/>
          <w:divBdr>
            <w:top w:val="none" w:sz="0" w:space="0" w:color="auto"/>
            <w:left w:val="none" w:sz="0" w:space="0" w:color="auto"/>
            <w:bottom w:val="none" w:sz="0" w:space="0" w:color="auto"/>
            <w:right w:val="none" w:sz="0" w:space="0" w:color="auto"/>
          </w:divBdr>
        </w:div>
      </w:divsChild>
    </w:div>
    <w:div w:id="480999971">
      <w:bodyDiv w:val="1"/>
      <w:marLeft w:val="0"/>
      <w:marRight w:val="0"/>
      <w:marTop w:val="0"/>
      <w:marBottom w:val="0"/>
      <w:divBdr>
        <w:top w:val="none" w:sz="0" w:space="0" w:color="auto"/>
        <w:left w:val="none" w:sz="0" w:space="0" w:color="auto"/>
        <w:bottom w:val="none" w:sz="0" w:space="0" w:color="auto"/>
        <w:right w:val="none" w:sz="0" w:space="0" w:color="auto"/>
      </w:divBdr>
      <w:divsChild>
        <w:div w:id="1338386140">
          <w:marLeft w:val="-225"/>
          <w:marRight w:val="-225"/>
          <w:marTop w:val="0"/>
          <w:marBottom w:val="0"/>
          <w:divBdr>
            <w:top w:val="none" w:sz="0" w:space="0" w:color="auto"/>
            <w:left w:val="none" w:sz="0" w:space="0" w:color="auto"/>
            <w:bottom w:val="none" w:sz="0" w:space="0" w:color="auto"/>
            <w:right w:val="none" w:sz="0" w:space="0" w:color="auto"/>
          </w:divBdr>
          <w:divsChild>
            <w:div w:id="384990002">
              <w:marLeft w:val="0"/>
              <w:marRight w:val="0"/>
              <w:marTop w:val="0"/>
              <w:marBottom w:val="0"/>
              <w:divBdr>
                <w:top w:val="none" w:sz="0" w:space="0" w:color="auto"/>
                <w:left w:val="none" w:sz="0" w:space="0" w:color="auto"/>
                <w:bottom w:val="none" w:sz="0" w:space="0" w:color="auto"/>
                <w:right w:val="none" w:sz="0" w:space="0" w:color="auto"/>
              </w:divBdr>
              <w:divsChild>
                <w:div w:id="534732920">
                  <w:marLeft w:val="0"/>
                  <w:marRight w:val="0"/>
                  <w:marTop w:val="0"/>
                  <w:marBottom w:val="0"/>
                  <w:divBdr>
                    <w:top w:val="none" w:sz="0" w:space="0" w:color="auto"/>
                    <w:left w:val="none" w:sz="0" w:space="0" w:color="auto"/>
                    <w:bottom w:val="none" w:sz="0" w:space="0" w:color="auto"/>
                    <w:right w:val="none" w:sz="0" w:space="0" w:color="auto"/>
                  </w:divBdr>
                </w:div>
                <w:div w:id="2115242424">
                  <w:marLeft w:val="0"/>
                  <w:marRight w:val="0"/>
                  <w:marTop w:val="0"/>
                  <w:marBottom w:val="0"/>
                  <w:divBdr>
                    <w:top w:val="none" w:sz="0" w:space="0" w:color="auto"/>
                    <w:left w:val="none" w:sz="0" w:space="0" w:color="auto"/>
                    <w:bottom w:val="none" w:sz="0" w:space="0" w:color="auto"/>
                    <w:right w:val="none" w:sz="0" w:space="0" w:color="auto"/>
                  </w:divBdr>
                </w:div>
                <w:div w:id="573390923">
                  <w:marLeft w:val="0"/>
                  <w:marRight w:val="0"/>
                  <w:marTop w:val="0"/>
                  <w:marBottom w:val="0"/>
                  <w:divBdr>
                    <w:top w:val="none" w:sz="0" w:space="0" w:color="auto"/>
                    <w:left w:val="none" w:sz="0" w:space="0" w:color="auto"/>
                    <w:bottom w:val="none" w:sz="0" w:space="0" w:color="auto"/>
                    <w:right w:val="none" w:sz="0" w:space="0" w:color="auto"/>
                  </w:divBdr>
                  <w:divsChild>
                    <w:div w:id="2037459425">
                      <w:marLeft w:val="-225"/>
                      <w:marRight w:val="-225"/>
                      <w:marTop w:val="0"/>
                      <w:marBottom w:val="0"/>
                      <w:divBdr>
                        <w:top w:val="none" w:sz="0" w:space="0" w:color="auto"/>
                        <w:left w:val="none" w:sz="0" w:space="0" w:color="auto"/>
                        <w:bottom w:val="none" w:sz="0" w:space="0" w:color="auto"/>
                        <w:right w:val="none" w:sz="0" w:space="0" w:color="auto"/>
                      </w:divBdr>
                      <w:divsChild>
                        <w:div w:id="1139302873">
                          <w:marLeft w:val="0"/>
                          <w:marRight w:val="0"/>
                          <w:marTop w:val="0"/>
                          <w:marBottom w:val="0"/>
                          <w:divBdr>
                            <w:top w:val="none" w:sz="0" w:space="0" w:color="auto"/>
                            <w:left w:val="none" w:sz="0" w:space="0" w:color="auto"/>
                            <w:bottom w:val="none" w:sz="0" w:space="0" w:color="auto"/>
                            <w:right w:val="none" w:sz="0" w:space="0" w:color="auto"/>
                          </w:divBdr>
                          <w:divsChild>
                            <w:div w:id="7466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85099">
          <w:marLeft w:val="-225"/>
          <w:marRight w:val="-225"/>
          <w:marTop w:val="0"/>
          <w:marBottom w:val="0"/>
          <w:divBdr>
            <w:top w:val="none" w:sz="0" w:space="0" w:color="auto"/>
            <w:left w:val="none" w:sz="0" w:space="0" w:color="auto"/>
            <w:bottom w:val="none" w:sz="0" w:space="0" w:color="auto"/>
            <w:right w:val="none" w:sz="0" w:space="0" w:color="auto"/>
          </w:divBdr>
        </w:div>
      </w:divsChild>
    </w:div>
    <w:div w:id="965549343">
      <w:bodyDiv w:val="1"/>
      <w:marLeft w:val="0"/>
      <w:marRight w:val="0"/>
      <w:marTop w:val="0"/>
      <w:marBottom w:val="0"/>
      <w:divBdr>
        <w:top w:val="none" w:sz="0" w:space="0" w:color="auto"/>
        <w:left w:val="none" w:sz="0" w:space="0" w:color="auto"/>
        <w:bottom w:val="none" w:sz="0" w:space="0" w:color="auto"/>
        <w:right w:val="none" w:sz="0" w:space="0" w:color="auto"/>
      </w:divBdr>
      <w:divsChild>
        <w:div w:id="1913811361">
          <w:marLeft w:val="-225"/>
          <w:marRight w:val="-225"/>
          <w:marTop w:val="0"/>
          <w:marBottom w:val="0"/>
          <w:divBdr>
            <w:top w:val="none" w:sz="0" w:space="0" w:color="auto"/>
            <w:left w:val="none" w:sz="0" w:space="0" w:color="auto"/>
            <w:bottom w:val="none" w:sz="0" w:space="0" w:color="auto"/>
            <w:right w:val="none" w:sz="0" w:space="0" w:color="auto"/>
          </w:divBdr>
          <w:divsChild>
            <w:div w:id="738747866">
              <w:marLeft w:val="0"/>
              <w:marRight w:val="0"/>
              <w:marTop w:val="0"/>
              <w:marBottom w:val="0"/>
              <w:divBdr>
                <w:top w:val="none" w:sz="0" w:space="0" w:color="auto"/>
                <w:left w:val="none" w:sz="0" w:space="0" w:color="auto"/>
                <w:bottom w:val="none" w:sz="0" w:space="0" w:color="auto"/>
                <w:right w:val="none" w:sz="0" w:space="0" w:color="auto"/>
              </w:divBdr>
              <w:divsChild>
                <w:div w:id="845899718">
                  <w:marLeft w:val="0"/>
                  <w:marRight w:val="0"/>
                  <w:marTop w:val="0"/>
                  <w:marBottom w:val="0"/>
                  <w:divBdr>
                    <w:top w:val="none" w:sz="0" w:space="0" w:color="auto"/>
                    <w:left w:val="none" w:sz="0" w:space="0" w:color="auto"/>
                    <w:bottom w:val="none" w:sz="0" w:space="0" w:color="auto"/>
                    <w:right w:val="none" w:sz="0" w:space="0" w:color="auto"/>
                  </w:divBdr>
                </w:div>
                <w:div w:id="1289360088">
                  <w:marLeft w:val="0"/>
                  <w:marRight w:val="0"/>
                  <w:marTop w:val="0"/>
                  <w:marBottom w:val="0"/>
                  <w:divBdr>
                    <w:top w:val="none" w:sz="0" w:space="0" w:color="auto"/>
                    <w:left w:val="none" w:sz="0" w:space="0" w:color="auto"/>
                    <w:bottom w:val="none" w:sz="0" w:space="0" w:color="auto"/>
                    <w:right w:val="none" w:sz="0" w:space="0" w:color="auto"/>
                  </w:divBdr>
                </w:div>
                <w:div w:id="317151423">
                  <w:marLeft w:val="0"/>
                  <w:marRight w:val="0"/>
                  <w:marTop w:val="0"/>
                  <w:marBottom w:val="0"/>
                  <w:divBdr>
                    <w:top w:val="none" w:sz="0" w:space="0" w:color="auto"/>
                    <w:left w:val="none" w:sz="0" w:space="0" w:color="auto"/>
                    <w:bottom w:val="none" w:sz="0" w:space="0" w:color="auto"/>
                    <w:right w:val="none" w:sz="0" w:space="0" w:color="auto"/>
                  </w:divBdr>
                  <w:divsChild>
                    <w:div w:id="604775894">
                      <w:marLeft w:val="-225"/>
                      <w:marRight w:val="-225"/>
                      <w:marTop w:val="0"/>
                      <w:marBottom w:val="0"/>
                      <w:divBdr>
                        <w:top w:val="none" w:sz="0" w:space="0" w:color="auto"/>
                        <w:left w:val="none" w:sz="0" w:space="0" w:color="auto"/>
                        <w:bottom w:val="none" w:sz="0" w:space="0" w:color="auto"/>
                        <w:right w:val="none" w:sz="0" w:space="0" w:color="auto"/>
                      </w:divBdr>
                      <w:divsChild>
                        <w:div w:id="488450332">
                          <w:marLeft w:val="0"/>
                          <w:marRight w:val="0"/>
                          <w:marTop w:val="0"/>
                          <w:marBottom w:val="0"/>
                          <w:divBdr>
                            <w:top w:val="none" w:sz="0" w:space="0" w:color="auto"/>
                            <w:left w:val="none" w:sz="0" w:space="0" w:color="auto"/>
                            <w:bottom w:val="none" w:sz="0" w:space="0" w:color="auto"/>
                            <w:right w:val="none" w:sz="0" w:space="0" w:color="auto"/>
                          </w:divBdr>
                          <w:divsChild>
                            <w:div w:id="2485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029350">
          <w:marLeft w:val="-225"/>
          <w:marRight w:val="-225"/>
          <w:marTop w:val="0"/>
          <w:marBottom w:val="0"/>
          <w:divBdr>
            <w:top w:val="none" w:sz="0" w:space="0" w:color="auto"/>
            <w:left w:val="none" w:sz="0" w:space="0" w:color="auto"/>
            <w:bottom w:val="none" w:sz="0" w:space="0" w:color="auto"/>
            <w:right w:val="none" w:sz="0" w:space="0" w:color="auto"/>
          </w:divBdr>
        </w:div>
      </w:divsChild>
    </w:div>
    <w:div w:id="1594777551">
      <w:bodyDiv w:val="1"/>
      <w:marLeft w:val="0"/>
      <w:marRight w:val="0"/>
      <w:marTop w:val="0"/>
      <w:marBottom w:val="0"/>
      <w:divBdr>
        <w:top w:val="none" w:sz="0" w:space="0" w:color="auto"/>
        <w:left w:val="none" w:sz="0" w:space="0" w:color="auto"/>
        <w:bottom w:val="none" w:sz="0" w:space="0" w:color="auto"/>
        <w:right w:val="none" w:sz="0" w:space="0" w:color="auto"/>
      </w:divBdr>
    </w:div>
    <w:div w:id="1898782089">
      <w:bodyDiv w:val="1"/>
      <w:marLeft w:val="0"/>
      <w:marRight w:val="0"/>
      <w:marTop w:val="0"/>
      <w:marBottom w:val="0"/>
      <w:divBdr>
        <w:top w:val="none" w:sz="0" w:space="0" w:color="auto"/>
        <w:left w:val="none" w:sz="0" w:space="0" w:color="auto"/>
        <w:bottom w:val="none" w:sz="0" w:space="0" w:color="auto"/>
        <w:right w:val="none" w:sz="0" w:space="0" w:color="auto"/>
      </w:divBdr>
      <w:divsChild>
        <w:div w:id="1567959872">
          <w:marLeft w:val="-225"/>
          <w:marRight w:val="-225"/>
          <w:marTop w:val="0"/>
          <w:marBottom w:val="0"/>
          <w:divBdr>
            <w:top w:val="none" w:sz="0" w:space="0" w:color="auto"/>
            <w:left w:val="none" w:sz="0" w:space="0" w:color="auto"/>
            <w:bottom w:val="none" w:sz="0" w:space="0" w:color="auto"/>
            <w:right w:val="none" w:sz="0" w:space="0" w:color="auto"/>
          </w:divBdr>
          <w:divsChild>
            <w:div w:id="1082801742">
              <w:marLeft w:val="0"/>
              <w:marRight w:val="0"/>
              <w:marTop w:val="0"/>
              <w:marBottom w:val="0"/>
              <w:divBdr>
                <w:top w:val="none" w:sz="0" w:space="0" w:color="auto"/>
                <w:left w:val="none" w:sz="0" w:space="0" w:color="auto"/>
                <w:bottom w:val="none" w:sz="0" w:space="0" w:color="auto"/>
                <w:right w:val="none" w:sz="0" w:space="0" w:color="auto"/>
              </w:divBdr>
              <w:divsChild>
                <w:div w:id="444737302">
                  <w:marLeft w:val="0"/>
                  <w:marRight w:val="0"/>
                  <w:marTop w:val="0"/>
                  <w:marBottom w:val="0"/>
                  <w:divBdr>
                    <w:top w:val="none" w:sz="0" w:space="0" w:color="auto"/>
                    <w:left w:val="none" w:sz="0" w:space="0" w:color="auto"/>
                    <w:bottom w:val="none" w:sz="0" w:space="0" w:color="auto"/>
                    <w:right w:val="none" w:sz="0" w:space="0" w:color="auto"/>
                  </w:divBdr>
                </w:div>
                <w:div w:id="158732737">
                  <w:marLeft w:val="0"/>
                  <w:marRight w:val="0"/>
                  <w:marTop w:val="0"/>
                  <w:marBottom w:val="0"/>
                  <w:divBdr>
                    <w:top w:val="none" w:sz="0" w:space="0" w:color="auto"/>
                    <w:left w:val="none" w:sz="0" w:space="0" w:color="auto"/>
                    <w:bottom w:val="none" w:sz="0" w:space="0" w:color="auto"/>
                    <w:right w:val="none" w:sz="0" w:space="0" w:color="auto"/>
                  </w:divBdr>
                </w:div>
                <w:div w:id="1671176890">
                  <w:marLeft w:val="0"/>
                  <w:marRight w:val="0"/>
                  <w:marTop w:val="0"/>
                  <w:marBottom w:val="0"/>
                  <w:divBdr>
                    <w:top w:val="none" w:sz="0" w:space="0" w:color="auto"/>
                    <w:left w:val="none" w:sz="0" w:space="0" w:color="auto"/>
                    <w:bottom w:val="none" w:sz="0" w:space="0" w:color="auto"/>
                    <w:right w:val="none" w:sz="0" w:space="0" w:color="auto"/>
                  </w:divBdr>
                  <w:divsChild>
                    <w:div w:id="2118064286">
                      <w:marLeft w:val="-225"/>
                      <w:marRight w:val="-225"/>
                      <w:marTop w:val="0"/>
                      <w:marBottom w:val="0"/>
                      <w:divBdr>
                        <w:top w:val="none" w:sz="0" w:space="0" w:color="auto"/>
                        <w:left w:val="none" w:sz="0" w:space="0" w:color="auto"/>
                        <w:bottom w:val="none" w:sz="0" w:space="0" w:color="auto"/>
                        <w:right w:val="none" w:sz="0" w:space="0" w:color="auto"/>
                      </w:divBdr>
                      <w:divsChild>
                        <w:div w:id="239947942">
                          <w:marLeft w:val="0"/>
                          <w:marRight w:val="0"/>
                          <w:marTop w:val="0"/>
                          <w:marBottom w:val="0"/>
                          <w:divBdr>
                            <w:top w:val="none" w:sz="0" w:space="0" w:color="auto"/>
                            <w:left w:val="none" w:sz="0" w:space="0" w:color="auto"/>
                            <w:bottom w:val="none" w:sz="0" w:space="0" w:color="auto"/>
                            <w:right w:val="none" w:sz="0" w:space="0" w:color="auto"/>
                          </w:divBdr>
                          <w:divsChild>
                            <w:div w:id="13147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8348">
          <w:marLeft w:val="-225"/>
          <w:marRight w:val="-225"/>
          <w:marTop w:val="0"/>
          <w:marBottom w:val="0"/>
          <w:divBdr>
            <w:top w:val="none" w:sz="0" w:space="0" w:color="auto"/>
            <w:left w:val="none" w:sz="0" w:space="0" w:color="auto"/>
            <w:bottom w:val="none" w:sz="0" w:space="0" w:color="auto"/>
            <w:right w:val="none" w:sz="0" w:space="0" w:color="auto"/>
          </w:divBdr>
          <w:divsChild>
            <w:div w:id="13424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hcp/acip-recs/general-recs/index.html"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s://www.fda.gov/vaccines-blood-biologics/vaccines/vaccines-licensed-use-united-st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dc.gov/pubs/other-languages/" TargetMode="External"/><Relationship Id="rId11" Type="http://schemas.openxmlformats.org/officeDocument/2006/relationships/fontTable" Target="fontTable.xml"/><Relationship Id="rId5" Type="http://schemas.openxmlformats.org/officeDocument/2006/relationships/hyperlink" Target="https://espanol.cdc.gov/enes/flu/professionals/acip/2022-2023/acip-table.htm" TargetMode="External"/><Relationship Id="rId10" Type="http://schemas.openxmlformats.org/officeDocument/2006/relationships/hyperlink" Target="https://www.cdc.gov/ncird/index.html" TargetMode="External"/><Relationship Id="rId4" Type="http://schemas.openxmlformats.org/officeDocument/2006/relationships/hyperlink" Target="https://www.cdc.gov/flu/prevent/egg-allergies.htm" TargetMode="External"/><Relationship Id="rId9" Type="http://schemas.openxmlformats.org/officeDocument/2006/relationships/hyperlink" Target="https://www.cdc.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Downing, Jeff</dc:creator>
  <cp:lastModifiedBy>Chacon, Kaci</cp:lastModifiedBy>
  <cp:revision>2</cp:revision>
  <dcterms:created xsi:type="dcterms:W3CDTF">2022-09-27T17:32:00Z</dcterms:created>
  <dcterms:modified xsi:type="dcterms:W3CDTF">2022-09-27T17:32:00Z</dcterms:modified>
</cp:coreProperties>
</file>